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C8C504" w14:textId="77777777" w:rsidR="00AB2C57" w:rsidRPr="005113A9" w:rsidRDefault="00AB2C57">
      <w:pPr>
        <w:spacing w:line="203" w:lineRule="atLeast"/>
        <w:jc w:val="center"/>
        <w:rPr>
          <w:rFonts w:ascii="Calibri" w:hAnsi="Calibri" w:cs="Arial"/>
          <w:b/>
          <w:spacing w:val="-2"/>
          <w:sz w:val="24"/>
          <w:szCs w:val="24"/>
          <w:u w:val="single"/>
        </w:rPr>
      </w:pPr>
      <w:r w:rsidRPr="005113A9">
        <w:rPr>
          <w:rFonts w:ascii="Calibri" w:hAnsi="Calibri" w:cs="Arial"/>
          <w:b/>
          <w:spacing w:val="-2"/>
          <w:sz w:val="24"/>
          <w:szCs w:val="24"/>
          <w:u w:val="single"/>
        </w:rPr>
        <w:t>INFORME DE INTERVENCIÓN</w:t>
      </w:r>
    </w:p>
    <w:p w14:paraId="193ACFB2" w14:textId="77777777" w:rsidR="00AB2C57" w:rsidRPr="005113A9" w:rsidRDefault="00AB2C57">
      <w:pPr>
        <w:spacing w:line="203" w:lineRule="atLeast"/>
        <w:jc w:val="center"/>
        <w:rPr>
          <w:rFonts w:ascii="Calibri" w:hAnsi="Calibri" w:cs="Arial"/>
          <w:b/>
          <w:spacing w:val="-2"/>
          <w:sz w:val="24"/>
          <w:szCs w:val="24"/>
          <w:u w:val="single"/>
        </w:rPr>
      </w:pPr>
    </w:p>
    <w:p w14:paraId="003E9DB5" w14:textId="47E70F08" w:rsidR="00AB2C57" w:rsidRPr="005113A9" w:rsidRDefault="00AB2C57">
      <w:pPr>
        <w:spacing w:line="203" w:lineRule="atLeast"/>
        <w:ind w:firstLine="708"/>
        <w:rPr>
          <w:rFonts w:ascii="Calibri" w:hAnsi="Calibri" w:cs="Arial"/>
          <w:b/>
          <w:spacing w:val="-2"/>
          <w:sz w:val="24"/>
          <w:szCs w:val="24"/>
          <w:u w:val="single"/>
        </w:rPr>
      </w:pPr>
      <w:r w:rsidRPr="005113A9">
        <w:rPr>
          <w:rFonts w:ascii="Calibri" w:hAnsi="Calibri" w:cs="Arial"/>
          <w:b/>
          <w:spacing w:val="-2"/>
          <w:sz w:val="24"/>
          <w:szCs w:val="24"/>
        </w:rPr>
        <w:t xml:space="preserve">Asunto: Liquidación del presupuesto general del ejercicio </w:t>
      </w:r>
      <w:r w:rsidR="002C6AC1">
        <w:rPr>
          <w:rFonts w:ascii="Calibri" w:hAnsi="Calibri" w:cs="Arial"/>
          <w:b/>
          <w:spacing w:val="-2"/>
          <w:sz w:val="24"/>
          <w:szCs w:val="24"/>
        </w:rPr>
        <w:t>202</w:t>
      </w:r>
      <w:r w:rsidR="00A86447">
        <w:rPr>
          <w:rFonts w:ascii="Calibri" w:hAnsi="Calibri" w:cs="Arial"/>
          <w:b/>
          <w:spacing w:val="-2"/>
          <w:sz w:val="24"/>
          <w:szCs w:val="24"/>
        </w:rPr>
        <w:t>4</w:t>
      </w:r>
    </w:p>
    <w:p w14:paraId="7D34EB83" w14:textId="77777777" w:rsidR="00AB2C57" w:rsidRPr="005113A9" w:rsidRDefault="00AB2C57">
      <w:pPr>
        <w:spacing w:line="203" w:lineRule="atLeast"/>
        <w:rPr>
          <w:rFonts w:ascii="Calibri" w:hAnsi="Calibri" w:cs="Arial"/>
          <w:b/>
          <w:spacing w:val="-2"/>
          <w:sz w:val="24"/>
          <w:szCs w:val="24"/>
          <w:u w:val="single"/>
        </w:rPr>
      </w:pPr>
    </w:p>
    <w:p w14:paraId="723BFAB9" w14:textId="77777777" w:rsidR="00AB2C57" w:rsidRPr="005113A9" w:rsidRDefault="00AB2C57">
      <w:pPr>
        <w:spacing w:line="203" w:lineRule="atLeast"/>
        <w:ind w:firstLine="708"/>
        <w:jc w:val="both"/>
        <w:rPr>
          <w:rFonts w:ascii="Calibri" w:hAnsi="Calibri" w:cs="Arial"/>
          <w:spacing w:val="-2"/>
          <w:sz w:val="24"/>
          <w:szCs w:val="24"/>
        </w:rPr>
      </w:pPr>
      <w:r w:rsidRPr="005113A9">
        <w:rPr>
          <w:rFonts w:ascii="Calibri" w:hAnsi="Calibri" w:cs="Arial"/>
          <w:spacing w:val="-2"/>
          <w:sz w:val="24"/>
          <w:szCs w:val="24"/>
        </w:rPr>
        <w:t xml:space="preserve">En cumplimiento de lo dispuesto en el </w:t>
      </w:r>
      <w:proofErr w:type="spellStart"/>
      <w:r w:rsidRPr="005113A9">
        <w:rPr>
          <w:rFonts w:ascii="Calibri" w:hAnsi="Calibri" w:cs="Arial"/>
          <w:spacing w:val="-2"/>
          <w:sz w:val="24"/>
          <w:szCs w:val="24"/>
        </w:rPr>
        <w:t>artº</w:t>
      </w:r>
      <w:proofErr w:type="spellEnd"/>
      <w:r w:rsidRPr="005113A9">
        <w:rPr>
          <w:rFonts w:ascii="Calibri" w:hAnsi="Calibri" w:cs="Arial"/>
          <w:spacing w:val="-2"/>
          <w:sz w:val="24"/>
          <w:szCs w:val="24"/>
        </w:rPr>
        <w:t>. 191 y siguientes del Texto Refundido de la Ley Reguladora de las Haciendas Locales (TRLHL), aprobado por Real Decreto Legislativo 2/2004, de 5 de marzo, se emite el siguiente informe:</w:t>
      </w:r>
    </w:p>
    <w:p w14:paraId="020E7649" w14:textId="77777777" w:rsidR="00AB2C57" w:rsidRPr="005113A9" w:rsidRDefault="00AB2C57">
      <w:pPr>
        <w:spacing w:line="203" w:lineRule="atLeast"/>
        <w:jc w:val="both"/>
        <w:rPr>
          <w:rFonts w:ascii="Calibri" w:hAnsi="Calibri" w:cs="Arial"/>
          <w:spacing w:val="-2"/>
          <w:sz w:val="24"/>
          <w:szCs w:val="24"/>
        </w:rPr>
      </w:pPr>
    </w:p>
    <w:p w14:paraId="7FDC715C" w14:textId="77777777" w:rsidR="00AB2C57" w:rsidRPr="005113A9" w:rsidRDefault="00AB2C57">
      <w:pPr>
        <w:tabs>
          <w:tab w:val="left" w:pos="540"/>
        </w:tabs>
        <w:spacing w:line="203" w:lineRule="atLeast"/>
        <w:jc w:val="both"/>
        <w:rPr>
          <w:rFonts w:ascii="Calibri" w:hAnsi="Calibri" w:cs="Arial"/>
          <w:spacing w:val="-2"/>
          <w:sz w:val="24"/>
          <w:szCs w:val="24"/>
        </w:rPr>
      </w:pPr>
      <w:r w:rsidRPr="005113A9">
        <w:rPr>
          <w:rFonts w:ascii="Calibri" w:hAnsi="Calibri" w:cs="Arial"/>
          <w:b/>
          <w:spacing w:val="-2"/>
          <w:sz w:val="24"/>
          <w:szCs w:val="24"/>
        </w:rPr>
        <w:tab/>
      </w:r>
      <w:r w:rsidRPr="005113A9">
        <w:rPr>
          <w:rFonts w:ascii="Calibri" w:hAnsi="Calibri" w:cs="Arial"/>
          <w:b/>
          <w:spacing w:val="-2"/>
          <w:sz w:val="24"/>
          <w:szCs w:val="24"/>
          <w:u w:val="single"/>
        </w:rPr>
        <w:t>1.) NORMATIVA APLICABLE</w:t>
      </w:r>
    </w:p>
    <w:p w14:paraId="46F5C205" w14:textId="77777777" w:rsidR="00AB2C57" w:rsidRPr="005113A9" w:rsidRDefault="00AB2C57">
      <w:pPr>
        <w:spacing w:line="203" w:lineRule="atLeast"/>
        <w:jc w:val="both"/>
        <w:rPr>
          <w:rFonts w:ascii="Calibri" w:hAnsi="Calibri" w:cs="Arial"/>
          <w:spacing w:val="-2"/>
          <w:sz w:val="24"/>
          <w:szCs w:val="24"/>
        </w:rPr>
      </w:pPr>
    </w:p>
    <w:p w14:paraId="5D212470" w14:textId="77777777" w:rsidR="00AB2C57" w:rsidRPr="005113A9" w:rsidRDefault="00AB2C57">
      <w:pPr>
        <w:numPr>
          <w:ilvl w:val="0"/>
          <w:numId w:val="3"/>
        </w:numPr>
        <w:spacing w:line="203" w:lineRule="atLeast"/>
        <w:jc w:val="both"/>
        <w:rPr>
          <w:rFonts w:ascii="Calibri" w:hAnsi="Calibri" w:cs="Arial"/>
          <w:spacing w:val="-2"/>
          <w:sz w:val="24"/>
          <w:szCs w:val="24"/>
        </w:rPr>
      </w:pPr>
      <w:r w:rsidRPr="005113A9">
        <w:rPr>
          <w:rFonts w:ascii="Calibri" w:hAnsi="Calibri" w:cs="Arial"/>
          <w:spacing w:val="-2"/>
          <w:sz w:val="24"/>
          <w:szCs w:val="24"/>
        </w:rPr>
        <w:t>Real Decreto Legislativo 2/2004, de 5 de marzo, que aprueba el texto refundido de la Ley Reguladora de las Haciendas Locales (TRLRHL</w:t>
      </w:r>
      <w:r w:rsidR="006E6BCA" w:rsidRPr="005113A9">
        <w:rPr>
          <w:rFonts w:ascii="Calibri" w:hAnsi="Calibri" w:cs="Arial"/>
          <w:spacing w:val="-2"/>
          <w:sz w:val="24"/>
          <w:szCs w:val="24"/>
        </w:rPr>
        <w:t>).</w:t>
      </w:r>
    </w:p>
    <w:p w14:paraId="5B7FC8BC" w14:textId="77777777" w:rsidR="00AB2C57" w:rsidRPr="005113A9" w:rsidRDefault="00AB2C57">
      <w:pPr>
        <w:spacing w:line="203" w:lineRule="atLeast"/>
        <w:jc w:val="both"/>
        <w:rPr>
          <w:rFonts w:ascii="Calibri" w:hAnsi="Calibri" w:cs="Arial"/>
          <w:spacing w:val="-2"/>
          <w:sz w:val="24"/>
          <w:szCs w:val="24"/>
        </w:rPr>
      </w:pPr>
    </w:p>
    <w:p w14:paraId="5044AB4A" w14:textId="77777777" w:rsidR="00AB2C57" w:rsidRPr="005113A9" w:rsidRDefault="00AB2C57">
      <w:pPr>
        <w:numPr>
          <w:ilvl w:val="0"/>
          <w:numId w:val="3"/>
        </w:numPr>
        <w:spacing w:line="203" w:lineRule="atLeast"/>
        <w:jc w:val="both"/>
        <w:rPr>
          <w:rFonts w:ascii="Calibri" w:hAnsi="Calibri" w:cs="Arial"/>
          <w:spacing w:val="-2"/>
          <w:sz w:val="24"/>
          <w:szCs w:val="24"/>
        </w:rPr>
      </w:pPr>
      <w:r w:rsidRPr="005113A9">
        <w:rPr>
          <w:rFonts w:ascii="Calibri" w:hAnsi="Calibri" w:cs="Arial"/>
          <w:spacing w:val="-2"/>
          <w:sz w:val="24"/>
          <w:szCs w:val="24"/>
        </w:rPr>
        <w:t>Real Decreto 500/1990, de 20 de abril, por el que se desarrolla el Capítulo primero del Título sexto de la Ley 39/1988, de 28 de diciembre, reguladora de las Haciendas Locales, en materia de presupuestos (RD 500/1990).</w:t>
      </w:r>
    </w:p>
    <w:p w14:paraId="756C0B4C" w14:textId="77777777" w:rsidR="00AB2C57" w:rsidRPr="005113A9" w:rsidRDefault="00AB2C57">
      <w:pPr>
        <w:spacing w:line="203" w:lineRule="atLeast"/>
        <w:jc w:val="both"/>
        <w:rPr>
          <w:rFonts w:ascii="Calibri" w:hAnsi="Calibri" w:cs="Arial"/>
          <w:spacing w:val="-2"/>
          <w:sz w:val="24"/>
          <w:szCs w:val="24"/>
        </w:rPr>
      </w:pPr>
    </w:p>
    <w:p w14:paraId="4CFA6582" w14:textId="77777777" w:rsidR="00AB2C57" w:rsidRPr="005113A9" w:rsidRDefault="00AB2C57">
      <w:pPr>
        <w:numPr>
          <w:ilvl w:val="0"/>
          <w:numId w:val="3"/>
        </w:numPr>
        <w:spacing w:line="203" w:lineRule="atLeast"/>
        <w:jc w:val="both"/>
        <w:rPr>
          <w:rFonts w:ascii="Calibri" w:hAnsi="Calibri" w:cs="Arial"/>
          <w:spacing w:val="-2"/>
          <w:sz w:val="24"/>
          <w:szCs w:val="24"/>
        </w:rPr>
      </w:pPr>
      <w:r w:rsidRPr="005113A9">
        <w:rPr>
          <w:rFonts w:ascii="Calibri" w:hAnsi="Calibri" w:cs="Arial"/>
          <w:spacing w:val="-2"/>
          <w:sz w:val="24"/>
          <w:szCs w:val="24"/>
        </w:rPr>
        <w:t xml:space="preserve">Orden </w:t>
      </w:r>
      <w:r w:rsidR="007B0681" w:rsidRPr="005113A9">
        <w:rPr>
          <w:rFonts w:ascii="Calibri" w:hAnsi="Calibri" w:cs="Arial"/>
          <w:spacing w:val="-2"/>
          <w:sz w:val="24"/>
          <w:szCs w:val="24"/>
        </w:rPr>
        <w:t>HAP</w:t>
      </w:r>
      <w:r w:rsidRPr="005113A9">
        <w:rPr>
          <w:rFonts w:ascii="Calibri" w:hAnsi="Calibri" w:cs="Arial"/>
          <w:spacing w:val="-2"/>
          <w:sz w:val="24"/>
          <w:szCs w:val="24"/>
        </w:rPr>
        <w:t>/</w:t>
      </w:r>
      <w:r w:rsidR="007B0681" w:rsidRPr="005113A9">
        <w:rPr>
          <w:rFonts w:ascii="Calibri" w:hAnsi="Calibri" w:cs="Arial"/>
          <w:spacing w:val="-2"/>
          <w:sz w:val="24"/>
          <w:szCs w:val="24"/>
        </w:rPr>
        <w:t>1781</w:t>
      </w:r>
      <w:r w:rsidRPr="005113A9">
        <w:rPr>
          <w:rFonts w:ascii="Calibri" w:hAnsi="Calibri" w:cs="Arial"/>
          <w:spacing w:val="-2"/>
          <w:sz w:val="24"/>
          <w:szCs w:val="24"/>
        </w:rPr>
        <w:t>/20</w:t>
      </w:r>
      <w:r w:rsidR="007B0681" w:rsidRPr="005113A9">
        <w:rPr>
          <w:rFonts w:ascii="Calibri" w:hAnsi="Calibri" w:cs="Arial"/>
          <w:spacing w:val="-2"/>
          <w:sz w:val="24"/>
          <w:szCs w:val="24"/>
        </w:rPr>
        <w:t>13</w:t>
      </w:r>
      <w:r w:rsidRPr="005113A9">
        <w:rPr>
          <w:rFonts w:ascii="Calibri" w:hAnsi="Calibri" w:cs="Arial"/>
          <w:spacing w:val="-2"/>
          <w:sz w:val="24"/>
          <w:szCs w:val="24"/>
        </w:rPr>
        <w:t>, de 2</w:t>
      </w:r>
      <w:r w:rsidR="007B0681" w:rsidRPr="005113A9">
        <w:rPr>
          <w:rFonts w:ascii="Calibri" w:hAnsi="Calibri" w:cs="Arial"/>
          <w:spacing w:val="-2"/>
          <w:sz w:val="24"/>
          <w:szCs w:val="24"/>
        </w:rPr>
        <w:t>0</w:t>
      </w:r>
      <w:r w:rsidRPr="005113A9">
        <w:rPr>
          <w:rFonts w:ascii="Calibri" w:hAnsi="Calibri" w:cs="Arial"/>
          <w:spacing w:val="-2"/>
          <w:sz w:val="24"/>
          <w:szCs w:val="24"/>
        </w:rPr>
        <w:t xml:space="preserve"> de </w:t>
      </w:r>
      <w:r w:rsidR="007B0681" w:rsidRPr="005113A9">
        <w:rPr>
          <w:rFonts w:ascii="Calibri" w:hAnsi="Calibri" w:cs="Arial"/>
          <w:spacing w:val="-2"/>
          <w:sz w:val="24"/>
          <w:szCs w:val="24"/>
        </w:rPr>
        <w:t>sept</w:t>
      </w:r>
      <w:r w:rsidRPr="005113A9">
        <w:rPr>
          <w:rFonts w:ascii="Calibri" w:hAnsi="Calibri" w:cs="Arial"/>
          <w:spacing w:val="-2"/>
          <w:sz w:val="24"/>
          <w:szCs w:val="24"/>
        </w:rPr>
        <w:t>iembre, por la que se aprueba la Instrucción del Modelo Normal de Contabilidad Local (IMNCL).</w:t>
      </w:r>
    </w:p>
    <w:p w14:paraId="3D1512A7" w14:textId="77777777" w:rsidR="00AB2C57" w:rsidRPr="005113A9" w:rsidRDefault="00AB2C57">
      <w:pPr>
        <w:spacing w:line="203" w:lineRule="atLeast"/>
        <w:jc w:val="both"/>
        <w:rPr>
          <w:rFonts w:ascii="Calibri" w:hAnsi="Calibri" w:cs="Arial"/>
          <w:spacing w:val="-2"/>
          <w:sz w:val="24"/>
          <w:szCs w:val="24"/>
        </w:rPr>
      </w:pPr>
    </w:p>
    <w:p w14:paraId="6C79761E" w14:textId="77777777" w:rsidR="00AB2C57" w:rsidRPr="005113A9" w:rsidRDefault="00AB2C57">
      <w:pPr>
        <w:numPr>
          <w:ilvl w:val="0"/>
          <w:numId w:val="3"/>
        </w:numPr>
        <w:spacing w:line="203" w:lineRule="atLeast"/>
        <w:jc w:val="both"/>
        <w:rPr>
          <w:rFonts w:ascii="Calibri" w:hAnsi="Calibri" w:cs="Arial"/>
          <w:spacing w:val="-2"/>
          <w:sz w:val="24"/>
          <w:szCs w:val="24"/>
        </w:rPr>
      </w:pPr>
      <w:r w:rsidRPr="005113A9">
        <w:rPr>
          <w:rFonts w:ascii="Calibri" w:hAnsi="Calibri" w:cs="Arial"/>
          <w:sz w:val="24"/>
          <w:szCs w:val="24"/>
        </w:rPr>
        <w:t>Ley Orgánica 2/2012, de 27 de abril, de Estabilidad presupuestaria y Sostenibilidad Financiera (LOEPSF).</w:t>
      </w:r>
    </w:p>
    <w:p w14:paraId="0AB55ADB" w14:textId="77777777" w:rsidR="00AB2C57" w:rsidRPr="005113A9" w:rsidRDefault="00AB2C57">
      <w:pPr>
        <w:spacing w:line="203" w:lineRule="atLeast"/>
        <w:jc w:val="both"/>
        <w:rPr>
          <w:rFonts w:ascii="Calibri" w:hAnsi="Calibri" w:cs="Arial"/>
          <w:spacing w:val="-2"/>
          <w:sz w:val="24"/>
          <w:szCs w:val="24"/>
        </w:rPr>
      </w:pPr>
    </w:p>
    <w:p w14:paraId="6A6B4412" w14:textId="77777777" w:rsidR="00AB2C57" w:rsidRPr="005113A9" w:rsidRDefault="00AB2C57">
      <w:pPr>
        <w:tabs>
          <w:tab w:val="left" w:pos="540"/>
        </w:tabs>
        <w:jc w:val="both"/>
        <w:rPr>
          <w:rFonts w:ascii="Calibri" w:hAnsi="Calibri" w:cs="Arial"/>
          <w:b/>
          <w:bCs/>
          <w:sz w:val="24"/>
          <w:szCs w:val="24"/>
          <w:u w:val="single"/>
        </w:rPr>
      </w:pPr>
      <w:r w:rsidRPr="005113A9">
        <w:rPr>
          <w:rFonts w:ascii="Calibri" w:eastAsia="Arial" w:hAnsi="Calibri" w:cs="Arial"/>
          <w:b/>
          <w:bCs/>
          <w:sz w:val="24"/>
          <w:szCs w:val="24"/>
        </w:rPr>
        <w:t xml:space="preserve"> </w:t>
      </w:r>
      <w:r w:rsidRPr="005113A9">
        <w:rPr>
          <w:rFonts w:ascii="Calibri" w:hAnsi="Calibri" w:cs="Arial"/>
          <w:b/>
          <w:bCs/>
          <w:sz w:val="24"/>
          <w:szCs w:val="24"/>
        </w:rPr>
        <w:tab/>
      </w:r>
      <w:r w:rsidRPr="005113A9">
        <w:rPr>
          <w:rFonts w:ascii="Calibri" w:hAnsi="Calibri" w:cs="Arial"/>
          <w:b/>
          <w:bCs/>
          <w:sz w:val="24"/>
          <w:szCs w:val="24"/>
          <w:u w:val="single"/>
        </w:rPr>
        <w:t xml:space="preserve">2.) MAGNITUDES </w:t>
      </w:r>
    </w:p>
    <w:p w14:paraId="301F4F71" w14:textId="77777777" w:rsidR="00AB2C57" w:rsidRPr="005113A9" w:rsidRDefault="00AB2C57">
      <w:pPr>
        <w:tabs>
          <w:tab w:val="left" w:pos="540"/>
        </w:tabs>
        <w:jc w:val="both"/>
        <w:rPr>
          <w:rFonts w:ascii="Calibri" w:hAnsi="Calibri" w:cs="Arial"/>
          <w:b/>
          <w:bCs/>
          <w:sz w:val="24"/>
          <w:szCs w:val="24"/>
          <w:u w:val="single"/>
        </w:rPr>
      </w:pPr>
    </w:p>
    <w:p w14:paraId="3C3760EB" w14:textId="77777777" w:rsidR="00AB2C57" w:rsidRPr="005113A9" w:rsidRDefault="00AB2C57">
      <w:pPr>
        <w:tabs>
          <w:tab w:val="left" w:pos="540"/>
        </w:tabs>
        <w:jc w:val="both"/>
        <w:rPr>
          <w:rFonts w:ascii="Calibri" w:hAnsi="Calibri" w:cs="Arial"/>
          <w:i/>
          <w:sz w:val="24"/>
          <w:szCs w:val="24"/>
        </w:rPr>
      </w:pPr>
      <w:r w:rsidRPr="005113A9">
        <w:rPr>
          <w:rFonts w:ascii="Calibri" w:hAnsi="Calibri" w:cs="Arial"/>
          <w:bCs/>
          <w:sz w:val="24"/>
          <w:szCs w:val="24"/>
        </w:rPr>
        <w:tab/>
        <w:t xml:space="preserve">La liquidación del presupuesto consiste en el análisis del grado de realización </w:t>
      </w:r>
      <w:proofErr w:type="gramStart"/>
      <w:r w:rsidRPr="005113A9">
        <w:rPr>
          <w:rFonts w:ascii="Calibri" w:hAnsi="Calibri" w:cs="Arial"/>
          <w:bCs/>
          <w:sz w:val="24"/>
          <w:szCs w:val="24"/>
        </w:rPr>
        <w:t>del mismo</w:t>
      </w:r>
      <w:proofErr w:type="gramEnd"/>
      <w:r w:rsidRPr="005113A9">
        <w:rPr>
          <w:rFonts w:ascii="Calibri" w:hAnsi="Calibri" w:cs="Arial"/>
          <w:bCs/>
          <w:sz w:val="24"/>
          <w:szCs w:val="24"/>
        </w:rPr>
        <w:t xml:space="preserve">, que se reflejará a través de las magnitudes establecidas en la normativa aplicable. Así, </w:t>
      </w:r>
      <w:r w:rsidRPr="005113A9">
        <w:rPr>
          <w:rFonts w:ascii="Calibri" w:hAnsi="Calibri" w:cs="Arial"/>
          <w:sz w:val="24"/>
          <w:szCs w:val="24"/>
        </w:rPr>
        <w:t xml:space="preserve">de conformidad con el artículo 93 del RD 500/90, </w:t>
      </w:r>
      <w:r w:rsidRPr="005113A9">
        <w:rPr>
          <w:rFonts w:ascii="Calibri" w:hAnsi="Calibri" w:cs="Arial"/>
          <w:i/>
          <w:sz w:val="24"/>
          <w:szCs w:val="24"/>
        </w:rPr>
        <w:t>la liquidación del Presupuesto pondrá de manifiesto:</w:t>
      </w:r>
    </w:p>
    <w:p w14:paraId="338DDA0F" w14:textId="77777777" w:rsidR="00AB2C57" w:rsidRPr="005113A9" w:rsidRDefault="00AB2C57">
      <w:pPr>
        <w:jc w:val="both"/>
        <w:rPr>
          <w:rFonts w:ascii="Calibri" w:hAnsi="Calibri" w:cs="Arial"/>
          <w:i/>
          <w:sz w:val="24"/>
          <w:szCs w:val="24"/>
        </w:rPr>
      </w:pPr>
    </w:p>
    <w:p w14:paraId="63F33E40" w14:textId="77777777" w:rsidR="00AB2C57" w:rsidRPr="005113A9" w:rsidRDefault="00AB2C57">
      <w:pPr>
        <w:ind w:firstLine="708"/>
        <w:jc w:val="both"/>
        <w:rPr>
          <w:rFonts w:ascii="Calibri" w:hAnsi="Calibri" w:cs="Arial"/>
          <w:bCs/>
          <w:sz w:val="24"/>
          <w:szCs w:val="24"/>
        </w:rPr>
      </w:pPr>
      <w:r w:rsidRPr="005113A9">
        <w:rPr>
          <w:rFonts w:ascii="Calibri" w:hAnsi="Calibri" w:cs="Arial"/>
          <w:bCs/>
          <w:sz w:val="24"/>
          <w:szCs w:val="24"/>
        </w:rPr>
        <w:t>- Respecto del presupuesto de gastos, y para cada partida presupuestaria, los créditos iniciales, sus modificaciones y los créditos definitivos, los gastos autorizados y comprometidos, las obligaciones reconocidas, los pagos ordenados y los pagos realizados.</w:t>
      </w:r>
    </w:p>
    <w:p w14:paraId="05A7FE10" w14:textId="77777777" w:rsidR="00AB2C57" w:rsidRPr="005113A9" w:rsidRDefault="00AB2C57">
      <w:pPr>
        <w:jc w:val="both"/>
        <w:rPr>
          <w:rFonts w:ascii="Calibri" w:hAnsi="Calibri" w:cs="Arial"/>
          <w:bCs/>
          <w:sz w:val="24"/>
          <w:szCs w:val="24"/>
        </w:rPr>
      </w:pPr>
    </w:p>
    <w:p w14:paraId="18CA5301" w14:textId="77777777" w:rsidR="00AB2C57" w:rsidRPr="005113A9" w:rsidRDefault="00AB2C57">
      <w:pPr>
        <w:ind w:firstLine="708"/>
        <w:jc w:val="both"/>
        <w:rPr>
          <w:rFonts w:ascii="Calibri" w:hAnsi="Calibri" w:cs="Arial"/>
          <w:bCs/>
          <w:sz w:val="24"/>
          <w:szCs w:val="24"/>
        </w:rPr>
      </w:pPr>
      <w:r w:rsidRPr="005113A9">
        <w:rPr>
          <w:rFonts w:ascii="Calibri" w:hAnsi="Calibri" w:cs="Arial"/>
          <w:bCs/>
          <w:sz w:val="24"/>
          <w:szCs w:val="24"/>
        </w:rPr>
        <w:t>- Respecto del presupuesto de ingresos, y para cada concepto, las previsiones iniciales, sus modificaciones y las previsiones definitivas, los derechos reconocidos y anulados, así como los recaudados netos.</w:t>
      </w:r>
    </w:p>
    <w:p w14:paraId="24DF00C4" w14:textId="77777777" w:rsidR="00AB2C57" w:rsidRPr="005113A9" w:rsidRDefault="00AB2C57">
      <w:pPr>
        <w:jc w:val="both"/>
        <w:rPr>
          <w:rFonts w:ascii="Calibri" w:hAnsi="Calibri" w:cs="Arial"/>
          <w:bCs/>
          <w:sz w:val="24"/>
          <w:szCs w:val="24"/>
        </w:rPr>
      </w:pPr>
    </w:p>
    <w:p w14:paraId="1A2D29E9" w14:textId="77777777" w:rsidR="00AB2C57" w:rsidRPr="005113A9" w:rsidRDefault="00AB2C57">
      <w:pPr>
        <w:jc w:val="both"/>
        <w:rPr>
          <w:rFonts w:ascii="Calibri" w:hAnsi="Calibri" w:cs="Arial"/>
          <w:bCs/>
          <w:sz w:val="24"/>
          <w:szCs w:val="24"/>
        </w:rPr>
      </w:pPr>
      <w:r w:rsidRPr="005113A9">
        <w:rPr>
          <w:rFonts w:ascii="Calibri" w:hAnsi="Calibri" w:cs="Arial"/>
          <w:bCs/>
          <w:sz w:val="24"/>
          <w:szCs w:val="24"/>
        </w:rPr>
        <w:t>Como consecuencia de la liquidación del presupuesto, deberán determinarse:</w:t>
      </w:r>
    </w:p>
    <w:p w14:paraId="51AD86CA" w14:textId="77777777" w:rsidR="00AB2C57" w:rsidRPr="005113A9" w:rsidRDefault="00AB2C57">
      <w:pPr>
        <w:jc w:val="both"/>
        <w:rPr>
          <w:rFonts w:ascii="Calibri" w:hAnsi="Calibri" w:cs="Arial"/>
          <w:bCs/>
          <w:sz w:val="24"/>
          <w:szCs w:val="24"/>
        </w:rPr>
      </w:pPr>
    </w:p>
    <w:p w14:paraId="0918E79A" w14:textId="77777777" w:rsidR="00AB2C57" w:rsidRPr="005113A9" w:rsidRDefault="00AB2C57">
      <w:pPr>
        <w:ind w:left="708"/>
        <w:jc w:val="both"/>
        <w:rPr>
          <w:rFonts w:ascii="Calibri" w:hAnsi="Calibri" w:cs="Arial"/>
          <w:bCs/>
          <w:sz w:val="24"/>
          <w:szCs w:val="24"/>
        </w:rPr>
      </w:pPr>
      <w:r w:rsidRPr="005113A9">
        <w:rPr>
          <w:rFonts w:ascii="Calibri" w:hAnsi="Calibri" w:cs="Arial"/>
          <w:bCs/>
          <w:sz w:val="24"/>
          <w:szCs w:val="24"/>
        </w:rPr>
        <w:t>a) Los derechos pendientes de cobro y las obligaciones pendientes de pago a 31 de diciembre.</w:t>
      </w:r>
    </w:p>
    <w:p w14:paraId="1B79A7DC" w14:textId="77777777" w:rsidR="00AB2C57" w:rsidRPr="005113A9" w:rsidRDefault="00AB2C57">
      <w:pPr>
        <w:jc w:val="both"/>
        <w:rPr>
          <w:rFonts w:ascii="Calibri" w:hAnsi="Calibri" w:cs="Arial"/>
          <w:bCs/>
          <w:sz w:val="24"/>
          <w:szCs w:val="24"/>
        </w:rPr>
      </w:pPr>
    </w:p>
    <w:p w14:paraId="25295D25" w14:textId="77777777" w:rsidR="00AB2C57" w:rsidRPr="005113A9" w:rsidRDefault="00AB2C57">
      <w:pPr>
        <w:ind w:firstLine="708"/>
        <w:jc w:val="both"/>
        <w:rPr>
          <w:rFonts w:ascii="Calibri" w:hAnsi="Calibri" w:cs="Arial"/>
          <w:bCs/>
          <w:sz w:val="24"/>
          <w:szCs w:val="24"/>
        </w:rPr>
      </w:pPr>
      <w:r w:rsidRPr="005113A9">
        <w:rPr>
          <w:rFonts w:ascii="Calibri" w:hAnsi="Calibri" w:cs="Arial"/>
          <w:bCs/>
          <w:sz w:val="24"/>
          <w:szCs w:val="24"/>
        </w:rPr>
        <w:t>b) El resultado presupuestario del ejercicio.</w:t>
      </w:r>
    </w:p>
    <w:p w14:paraId="3EE70D16" w14:textId="77777777" w:rsidR="00AB2C57" w:rsidRPr="005113A9" w:rsidRDefault="00AB2C57">
      <w:pPr>
        <w:jc w:val="both"/>
        <w:rPr>
          <w:rFonts w:ascii="Calibri" w:hAnsi="Calibri" w:cs="Arial"/>
          <w:bCs/>
          <w:sz w:val="24"/>
          <w:szCs w:val="24"/>
        </w:rPr>
      </w:pPr>
    </w:p>
    <w:p w14:paraId="40EDEB1F" w14:textId="77777777" w:rsidR="00AB2C57" w:rsidRPr="005113A9" w:rsidRDefault="00AB2C57">
      <w:pPr>
        <w:jc w:val="both"/>
        <w:rPr>
          <w:rFonts w:ascii="Calibri" w:hAnsi="Calibri" w:cs="Arial"/>
          <w:bCs/>
          <w:sz w:val="24"/>
          <w:szCs w:val="24"/>
        </w:rPr>
      </w:pPr>
      <w:r w:rsidRPr="005113A9">
        <w:rPr>
          <w:rFonts w:ascii="Calibri" w:hAnsi="Calibri" w:cs="Arial"/>
          <w:bCs/>
          <w:sz w:val="24"/>
          <w:szCs w:val="24"/>
        </w:rPr>
        <w:lastRenderedPageBreak/>
        <w:tab/>
        <w:t>c) Los remanentes de crédito.</w:t>
      </w:r>
    </w:p>
    <w:p w14:paraId="0261CDD8" w14:textId="77777777" w:rsidR="00AB2C57" w:rsidRPr="005113A9" w:rsidRDefault="00AB2C57">
      <w:pPr>
        <w:jc w:val="both"/>
        <w:rPr>
          <w:rFonts w:ascii="Calibri" w:hAnsi="Calibri" w:cs="Arial"/>
          <w:bCs/>
          <w:sz w:val="24"/>
          <w:szCs w:val="24"/>
        </w:rPr>
      </w:pPr>
    </w:p>
    <w:p w14:paraId="7D22992D" w14:textId="77777777" w:rsidR="00AB2C57" w:rsidRPr="005113A9" w:rsidRDefault="00AB2C57">
      <w:pPr>
        <w:jc w:val="both"/>
        <w:rPr>
          <w:rFonts w:ascii="Calibri" w:hAnsi="Calibri" w:cs="Arial"/>
          <w:bCs/>
          <w:sz w:val="24"/>
          <w:szCs w:val="24"/>
        </w:rPr>
      </w:pPr>
      <w:r w:rsidRPr="005113A9">
        <w:rPr>
          <w:rFonts w:ascii="Calibri" w:hAnsi="Calibri" w:cs="Arial"/>
          <w:bCs/>
          <w:sz w:val="24"/>
          <w:szCs w:val="24"/>
        </w:rPr>
        <w:tab/>
        <w:t>d) El remanente de tesorería.</w:t>
      </w:r>
    </w:p>
    <w:p w14:paraId="335B5F04" w14:textId="77777777" w:rsidR="00AB2C57" w:rsidRPr="005113A9" w:rsidRDefault="00AB2C57">
      <w:pPr>
        <w:jc w:val="both"/>
        <w:rPr>
          <w:rFonts w:ascii="Calibri" w:hAnsi="Calibri" w:cs="Arial"/>
          <w:bCs/>
          <w:sz w:val="24"/>
          <w:szCs w:val="24"/>
        </w:rPr>
      </w:pPr>
    </w:p>
    <w:p w14:paraId="5358FD2F" w14:textId="77777777" w:rsidR="00AB2C57" w:rsidRPr="005113A9" w:rsidRDefault="00AB2C57">
      <w:pPr>
        <w:ind w:firstLine="708"/>
        <w:jc w:val="both"/>
        <w:rPr>
          <w:rFonts w:ascii="Calibri" w:hAnsi="Calibri" w:cs="Arial"/>
          <w:bCs/>
          <w:sz w:val="24"/>
          <w:szCs w:val="24"/>
        </w:rPr>
      </w:pPr>
      <w:r w:rsidRPr="005113A9">
        <w:rPr>
          <w:rFonts w:ascii="Calibri" w:hAnsi="Calibri" w:cs="Arial"/>
          <w:bCs/>
          <w:sz w:val="24"/>
          <w:szCs w:val="24"/>
        </w:rPr>
        <w:t>Por otra parte, los arts. 51 y 53 del TRLHL establecen que procede, asimismo, en el momento de la liquidación presupuestaria, determinar:</w:t>
      </w:r>
    </w:p>
    <w:p w14:paraId="17F5E106" w14:textId="77777777" w:rsidR="00AB2C57" w:rsidRPr="005113A9" w:rsidRDefault="00AB2C57">
      <w:pPr>
        <w:jc w:val="both"/>
        <w:rPr>
          <w:rFonts w:ascii="Calibri" w:hAnsi="Calibri" w:cs="Arial"/>
          <w:bCs/>
          <w:sz w:val="24"/>
          <w:szCs w:val="24"/>
        </w:rPr>
      </w:pPr>
    </w:p>
    <w:p w14:paraId="4EC65AB3" w14:textId="77777777" w:rsidR="00AB2C57" w:rsidRPr="005113A9" w:rsidRDefault="00AB2C57">
      <w:pPr>
        <w:spacing w:line="360" w:lineRule="auto"/>
        <w:ind w:left="708"/>
        <w:jc w:val="both"/>
        <w:rPr>
          <w:rFonts w:ascii="Calibri" w:hAnsi="Calibri" w:cs="Arial"/>
          <w:bCs/>
          <w:sz w:val="24"/>
          <w:szCs w:val="24"/>
        </w:rPr>
      </w:pPr>
      <w:r w:rsidRPr="005113A9">
        <w:rPr>
          <w:rFonts w:ascii="Calibri" w:hAnsi="Calibri" w:cs="Arial"/>
          <w:bCs/>
          <w:sz w:val="24"/>
          <w:szCs w:val="24"/>
        </w:rPr>
        <w:t>e) Los recursos liquidados por operaciones corrientes en el ejercicio.</w:t>
      </w:r>
    </w:p>
    <w:p w14:paraId="2A9275B9" w14:textId="77777777" w:rsidR="00AB2C57" w:rsidRPr="005113A9" w:rsidRDefault="00AB2C57">
      <w:pPr>
        <w:spacing w:line="360" w:lineRule="auto"/>
        <w:ind w:left="708"/>
        <w:jc w:val="both"/>
        <w:rPr>
          <w:rFonts w:ascii="Calibri" w:hAnsi="Calibri" w:cs="Arial"/>
          <w:bCs/>
          <w:sz w:val="24"/>
          <w:szCs w:val="24"/>
        </w:rPr>
      </w:pPr>
      <w:r w:rsidRPr="005113A9">
        <w:rPr>
          <w:rFonts w:ascii="Calibri" w:hAnsi="Calibri" w:cs="Arial"/>
          <w:bCs/>
          <w:sz w:val="24"/>
          <w:szCs w:val="24"/>
        </w:rPr>
        <w:t>f) La carga financiera.</w:t>
      </w:r>
    </w:p>
    <w:p w14:paraId="4FBAF4E0" w14:textId="77777777" w:rsidR="00AB2C57" w:rsidRPr="005113A9" w:rsidRDefault="00AB2C57">
      <w:pPr>
        <w:spacing w:line="360" w:lineRule="auto"/>
        <w:ind w:firstLine="708"/>
        <w:jc w:val="both"/>
        <w:rPr>
          <w:rFonts w:ascii="Calibri" w:hAnsi="Calibri" w:cs="Arial"/>
          <w:sz w:val="24"/>
          <w:szCs w:val="24"/>
        </w:rPr>
      </w:pPr>
      <w:r w:rsidRPr="005113A9">
        <w:rPr>
          <w:rFonts w:ascii="Calibri" w:hAnsi="Calibri" w:cs="Arial"/>
          <w:bCs/>
          <w:sz w:val="24"/>
          <w:szCs w:val="24"/>
        </w:rPr>
        <w:t>g)  el ahorro neto.</w:t>
      </w:r>
    </w:p>
    <w:p w14:paraId="525117D4" w14:textId="77777777" w:rsidR="00AB2C57" w:rsidRPr="005113A9" w:rsidRDefault="00AB2C57">
      <w:pPr>
        <w:ind w:firstLine="709"/>
        <w:jc w:val="both"/>
        <w:rPr>
          <w:rFonts w:ascii="Calibri" w:hAnsi="Calibri" w:cs="Arial"/>
          <w:sz w:val="24"/>
          <w:szCs w:val="24"/>
        </w:rPr>
      </w:pPr>
    </w:p>
    <w:p w14:paraId="0C0C13C9" w14:textId="3DAC8401" w:rsidR="00AB2C57" w:rsidRPr="005113A9" w:rsidRDefault="00AB2C57">
      <w:pPr>
        <w:ind w:firstLine="709"/>
        <w:jc w:val="both"/>
        <w:rPr>
          <w:rFonts w:ascii="Calibri" w:hAnsi="Calibri" w:cs="Arial"/>
          <w:sz w:val="24"/>
          <w:szCs w:val="24"/>
        </w:rPr>
      </w:pPr>
      <w:r w:rsidRPr="005113A9">
        <w:rPr>
          <w:rFonts w:ascii="Calibri" w:hAnsi="Calibri" w:cs="Arial"/>
          <w:sz w:val="24"/>
          <w:szCs w:val="24"/>
        </w:rPr>
        <w:t xml:space="preserve">Procedemos a continuación a detallar cual ha sido el valor alcanzado por estas magnitudes en la liquidación presupuestaria del ejercicio </w:t>
      </w:r>
      <w:r w:rsidR="002C6AC1">
        <w:rPr>
          <w:rFonts w:ascii="Calibri" w:hAnsi="Calibri" w:cs="Arial"/>
          <w:sz w:val="24"/>
          <w:szCs w:val="24"/>
        </w:rPr>
        <w:t>202</w:t>
      </w:r>
      <w:r w:rsidR="00C76EE2">
        <w:rPr>
          <w:rFonts w:ascii="Calibri" w:hAnsi="Calibri" w:cs="Arial"/>
          <w:sz w:val="24"/>
          <w:szCs w:val="24"/>
        </w:rPr>
        <w:t>4</w:t>
      </w:r>
      <w:r w:rsidRPr="005113A9">
        <w:rPr>
          <w:rFonts w:ascii="Calibri" w:hAnsi="Calibri" w:cs="Arial"/>
          <w:sz w:val="24"/>
          <w:szCs w:val="24"/>
        </w:rPr>
        <w:t>:</w:t>
      </w:r>
    </w:p>
    <w:p w14:paraId="465FAB7C" w14:textId="77777777" w:rsidR="00AB2C57" w:rsidRPr="005113A9" w:rsidRDefault="00AB2C57">
      <w:pPr>
        <w:spacing w:line="360" w:lineRule="auto"/>
        <w:ind w:firstLine="708"/>
        <w:jc w:val="both"/>
        <w:rPr>
          <w:rFonts w:ascii="Calibri" w:hAnsi="Calibri" w:cs="Arial"/>
          <w:sz w:val="24"/>
          <w:szCs w:val="24"/>
        </w:rPr>
      </w:pPr>
    </w:p>
    <w:p w14:paraId="5F4286FE" w14:textId="77777777" w:rsidR="00AB2C57" w:rsidRPr="005113A9" w:rsidRDefault="00AB2C57">
      <w:pPr>
        <w:pStyle w:val="Sangra2detindependiente1"/>
        <w:rPr>
          <w:rFonts w:ascii="Calibri" w:hAnsi="Calibri" w:cs="Arial"/>
          <w:b/>
          <w:u w:val="single"/>
        </w:rPr>
      </w:pPr>
      <w:r w:rsidRPr="005113A9">
        <w:rPr>
          <w:rFonts w:ascii="Calibri" w:hAnsi="Calibri" w:cs="Arial"/>
          <w:b/>
          <w:bCs/>
          <w:u w:val="single"/>
        </w:rPr>
        <w:t>a.) Derechos pendientes de cobro y obligaciones pendientes de pago</w:t>
      </w:r>
    </w:p>
    <w:p w14:paraId="16419B0A" w14:textId="77777777" w:rsidR="005113A9" w:rsidRPr="005113A9" w:rsidRDefault="005113A9">
      <w:pPr>
        <w:jc w:val="both"/>
        <w:rPr>
          <w:rFonts w:ascii="Calibri" w:hAnsi="Calibri" w:cs="Arial"/>
          <w:b/>
          <w:sz w:val="24"/>
          <w:szCs w:val="24"/>
          <w:u w:val="single"/>
        </w:rPr>
      </w:pPr>
    </w:p>
    <w:p w14:paraId="6DE57D29" w14:textId="77777777" w:rsidR="00AB2C57" w:rsidRPr="005113A9" w:rsidRDefault="00AB2C57">
      <w:pPr>
        <w:jc w:val="both"/>
        <w:rPr>
          <w:rFonts w:ascii="Calibri" w:hAnsi="Calibri" w:cs="Arial"/>
          <w:sz w:val="24"/>
          <w:szCs w:val="24"/>
        </w:rPr>
      </w:pPr>
      <w:r w:rsidRPr="005113A9">
        <w:rPr>
          <w:rFonts w:ascii="Calibri" w:hAnsi="Calibri" w:cs="Arial"/>
          <w:sz w:val="24"/>
          <w:szCs w:val="24"/>
        </w:rPr>
        <w:tab/>
        <w:t xml:space="preserve">El artículo 94 del RD500/1990, dispone que los derechos </w:t>
      </w:r>
      <w:r w:rsidR="00747A51" w:rsidRPr="005113A9">
        <w:rPr>
          <w:rFonts w:ascii="Calibri" w:hAnsi="Calibri" w:cs="Arial"/>
          <w:sz w:val="24"/>
          <w:szCs w:val="24"/>
        </w:rPr>
        <w:t>liquidados pendientes</w:t>
      </w:r>
      <w:r w:rsidRPr="005113A9">
        <w:rPr>
          <w:rFonts w:ascii="Calibri" w:hAnsi="Calibri" w:cs="Arial"/>
          <w:sz w:val="24"/>
          <w:szCs w:val="24"/>
        </w:rPr>
        <w:t xml:space="preserve"> de cobro y las obligaciones reconocidas pendientes de pago a 31 de diciembre </w:t>
      </w:r>
      <w:r w:rsidR="00747A51" w:rsidRPr="005113A9">
        <w:rPr>
          <w:rFonts w:ascii="Calibri" w:hAnsi="Calibri" w:cs="Arial"/>
          <w:sz w:val="24"/>
          <w:szCs w:val="24"/>
        </w:rPr>
        <w:t>pasar</w:t>
      </w:r>
      <w:r w:rsidR="00747A51">
        <w:rPr>
          <w:rFonts w:ascii="Calibri" w:hAnsi="Calibri" w:cs="Arial"/>
          <w:sz w:val="24"/>
          <w:szCs w:val="24"/>
        </w:rPr>
        <w:t>án</w:t>
      </w:r>
      <w:r w:rsidRPr="005113A9">
        <w:rPr>
          <w:rFonts w:ascii="Calibri" w:hAnsi="Calibri" w:cs="Arial"/>
          <w:sz w:val="24"/>
          <w:szCs w:val="24"/>
        </w:rPr>
        <w:t xml:space="preserve"> a integrar la agrupación de Presupuestos Cerrados y tendrán la consideración de operaciones de la Tesorería Local.</w:t>
      </w:r>
    </w:p>
    <w:p w14:paraId="17FF8662" w14:textId="77777777" w:rsidR="00AB2C57" w:rsidRPr="005113A9" w:rsidRDefault="00AB2C57">
      <w:pPr>
        <w:jc w:val="both"/>
        <w:rPr>
          <w:rFonts w:ascii="Calibri" w:hAnsi="Calibri" w:cs="Arial"/>
          <w:sz w:val="24"/>
          <w:szCs w:val="24"/>
        </w:rPr>
      </w:pPr>
    </w:p>
    <w:p w14:paraId="40D31413" w14:textId="77777777" w:rsidR="00AB2C57" w:rsidRPr="005113A9" w:rsidRDefault="00AB2C57">
      <w:pPr>
        <w:jc w:val="both"/>
        <w:rPr>
          <w:rFonts w:ascii="Calibri" w:hAnsi="Calibri" w:cs="Arial"/>
          <w:sz w:val="24"/>
          <w:szCs w:val="24"/>
        </w:rPr>
      </w:pPr>
      <w:r w:rsidRPr="005113A9">
        <w:rPr>
          <w:rFonts w:ascii="Calibri" w:hAnsi="Calibri" w:cs="Arial"/>
          <w:sz w:val="24"/>
          <w:szCs w:val="24"/>
        </w:rPr>
        <w:tab/>
        <w:t>De los registros presupuestarios y contables se desprende lo siguiente:</w:t>
      </w:r>
    </w:p>
    <w:p w14:paraId="7CB5F8C3" w14:textId="77777777" w:rsidR="00AB2C57" w:rsidRPr="005113A9" w:rsidRDefault="00AB2C57">
      <w:pPr>
        <w:jc w:val="both"/>
        <w:rPr>
          <w:rFonts w:ascii="Calibri" w:hAnsi="Calibri" w:cs="Arial"/>
          <w:sz w:val="24"/>
          <w:szCs w:val="24"/>
        </w:rPr>
      </w:pPr>
    </w:p>
    <w:tbl>
      <w:tblPr>
        <w:tblW w:w="0" w:type="auto"/>
        <w:tblInd w:w="1375" w:type="dxa"/>
        <w:tblLayout w:type="fixed"/>
        <w:tblCellMar>
          <w:left w:w="70" w:type="dxa"/>
          <w:right w:w="70" w:type="dxa"/>
        </w:tblCellMar>
        <w:tblLook w:val="0000" w:firstRow="0" w:lastRow="0" w:firstColumn="0" w:lastColumn="0" w:noHBand="0" w:noVBand="0"/>
      </w:tblPr>
      <w:tblGrid>
        <w:gridCol w:w="5060"/>
        <w:gridCol w:w="1704"/>
      </w:tblGrid>
      <w:tr w:rsidR="00A6625E" w:rsidRPr="003D464D" w14:paraId="0E28D2BC" w14:textId="77777777" w:rsidTr="47161A6F">
        <w:trPr>
          <w:trHeight w:val="321"/>
        </w:trPr>
        <w:tc>
          <w:tcPr>
            <w:tcW w:w="5060" w:type="dxa"/>
            <w:tcBorders>
              <w:top w:val="single" w:sz="8" w:space="0" w:color="000000" w:themeColor="text1"/>
              <w:left w:val="single" w:sz="8" w:space="0" w:color="000000" w:themeColor="text1"/>
              <w:bottom w:val="single" w:sz="8" w:space="0" w:color="000000" w:themeColor="text1"/>
            </w:tcBorders>
          </w:tcPr>
          <w:p w14:paraId="6C154533" w14:textId="2F764E27" w:rsidR="00A6625E" w:rsidRPr="005113A9" w:rsidRDefault="00A6625E" w:rsidP="00A6625E">
            <w:pPr>
              <w:jc w:val="both"/>
              <w:rPr>
                <w:rFonts w:ascii="Calibri" w:hAnsi="Calibri" w:cs="Arial"/>
                <w:sz w:val="24"/>
                <w:szCs w:val="24"/>
              </w:rPr>
            </w:pPr>
            <w:r w:rsidRPr="005113A9">
              <w:rPr>
                <w:rFonts w:ascii="Calibri" w:hAnsi="Calibri" w:cs="Arial"/>
                <w:sz w:val="24"/>
                <w:szCs w:val="24"/>
              </w:rPr>
              <w:t>Derechos Pendientes de Cobro a 31.12.</w:t>
            </w:r>
            <w:r>
              <w:rPr>
                <w:rFonts w:ascii="Calibri" w:hAnsi="Calibri" w:cs="Arial"/>
                <w:sz w:val="24"/>
                <w:szCs w:val="24"/>
              </w:rPr>
              <w:t>202</w:t>
            </w:r>
            <w:r w:rsidR="00F31CF1">
              <w:rPr>
                <w:rFonts w:ascii="Calibri" w:hAnsi="Calibri" w:cs="Arial"/>
                <w:sz w:val="24"/>
                <w:szCs w:val="24"/>
              </w:rPr>
              <w:t>4</w:t>
            </w:r>
          </w:p>
        </w:tc>
        <w:tc>
          <w:tcPr>
            <w:tcW w:w="17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A463C4" w14:textId="676B0C70" w:rsidR="00A6625E" w:rsidRPr="00A6625E" w:rsidRDefault="009D2613" w:rsidP="00A6625E">
            <w:pPr>
              <w:jc w:val="right"/>
              <w:rPr>
                <w:rFonts w:ascii="Calibri" w:eastAsia="Calibri" w:hAnsi="Calibri" w:cs="Calibri"/>
                <w:sz w:val="24"/>
                <w:szCs w:val="24"/>
              </w:rPr>
            </w:pPr>
            <w:r>
              <w:rPr>
                <w:rFonts w:ascii="Calibri" w:hAnsi="Calibri" w:cs="Calibri"/>
                <w:sz w:val="24"/>
                <w:szCs w:val="24"/>
              </w:rPr>
              <w:t>3.778.751,88</w:t>
            </w:r>
          </w:p>
        </w:tc>
      </w:tr>
      <w:tr w:rsidR="00A6625E" w:rsidRPr="003D464D" w14:paraId="4FE5EC8B" w14:textId="77777777" w:rsidTr="47161A6F">
        <w:trPr>
          <w:trHeight w:val="270"/>
        </w:trPr>
        <w:tc>
          <w:tcPr>
            <w:tcW w:w="5060" w:type="dxa"/>
            <w:tcBorders>
              <w:left w:val="single" w:sz="8" w:space="0" w:color="000000" w:themeColor="text1"/>
              <w:bottom w:val="single" w:sz="8" w:space="0" w:color="000000" w:themeColor="text1"/>
            </w:tcBorders>
          </w:tcPr>
          <w:p w14:paraId="4F29328A" w14:textId="03403E8B" w:rsidR="00A6625E" w:rsidRPr="00F346C0" w:rsidRDefault="00A6625E" w:rsidP="00A6625E">
            <w:pPr>
              <w:jc w:val="both"/>
              <w:rPr>
                <w:rFonts w:ascii="Calibri" w:hAnsi="Calibri" w:cs="Arial"/>
                <w:sz w:val="24"/>
                <w:szCs w:val="24"/>
              </w:rPr>
            </w:pPr>
            <w:r w:rsidRPr="00F346C0">
              <w:rPr>
                <w:rFonts w:ascii="Calibri" w:hAnsi="Calibri" w:cs="Arial"/>
                <w:sz w:val="24"/>
                <w:szCs w:val="24"/>
              </w:rPr>
              <w:t>Obligaciones Pendientes de Pago a 31.12.</w:t>
            </w:r>
            <w:r>
              <w:rPr>
                <w:rFonts w:ascii="Calibri" w:hAnsi="Calibri" w:cs="Arial"/>
                <w:sz w:val="24"/>
                <w:szCs w:val="24"/>
              </w:rPr>
              <w:t>202</w:t>
            </w:r>
            <w:r w:rsidR="00F31CF1">
              <w:rPr>
                <w:rFonts w:ascii="Calibri" w:hAnsi="Calibri" w:cs="Arial"/>
                <w:sz w:val="24"/>
                <w:szCs w:val="24"/>
              </w:rPr>
              <w:t>4</w:t>
            </w:r>
          </w:p>
        </w:tc>
        <w:tc>
          <w:tcPr>
            <w:tcW w:w="1704" w:type="dxa"/>
            <w:tcBorders>
              <w:left w:val="single" w:sz="8" w:space="0" w:color="000000" w:themeColor="text1"/>
              <w:bottom w:val="single" w:sz="8" w:space="0" w:color="000000" w:themeColor="text1"/>
              <w:right w:val="single" w:sz="8" w:space="0" w:color="000000" w:themeColor="text1"/>
            </w:tcBorders>
            <w:vAlign w:val="bottom"/>
          </w:tcPr>
          <w:p w14:paraId="7A84B378" w14:textId="39952275" w:rsidR="00A6625E" w:rsidRPr="00A6625E" w:rsidRDefault="009D2613" w:rsidP="00A6625E">
            <w:pPr>
              <w:suppressAutoHyphens w:val="0"/>
              <w:jc w:val="right"/>
              <w:rPr>
                <w:rFonts w:ascii="Calibri" w:hAnsi="Calibri" w:cs="Calibri"/>
                <w:sz w:val="24"/>
                <w:szCs w:val="24"/>
                <w:lang w:eastAsia="es-ES"/>
              </w:rPr>
            </w:pPr>
            <w:r>
              <w:rPr>
                <w:rFonts w:ascii="Calibri" w:hAnsi="Calibri" w:cs="Calibri"/>
                <w:sz w:val="24"/>
                <w:szCs w:val="24"/>
              </w:rPr>
              <w:t>2.669.666,53</w:t>
            </w:r>
          </w:p>
        </w:tc>
      </w:tr>
    </w:tbl>
    <w:p w14:paraId="42B06457" w14:textId="77777777" w:rsidR="00AB2C57" w:rsidRPr="005113A9" w:rsidRDefault="00AB2C57">
      <w:pPr>
        <w:spacing w:line="360" w:lineRule="auto"/>
        <w:jc w:val="both"/>
        <w:rPr>
          <w:rFonts w:ascii="Calibri" w:hAnsi="Calibri" w:cs="Arial"/>
          <w:b/>
          <w:bCs/>
          <w:sz w:val="24"/>
          <w:szCs w:val="24"/>
          <w:u w:val="single"/>
        </w:rPr>
      </w:pPr>
    </w:p>
    <w:p w14:paraId="04064144" w14:textId="77777777" w:rsidR="00AB2C57" w:rsidRPr="005113A9" w:rsidRDefault="00AB2C57">
      <w:pPr>
        <w:ind w:firstLine="708"/>
        <w:jc w:val="both"/>
        <w:rPr>
          <w:rFonts w:ascii="Calibri" w:hAnsi="Calibri" w:cs="Arial"/>
          <w:b/>
          <w:sz w:val="24"/>
          <w:szCs w:val="24"/>
          <w:u w:val="single"/>
        </w:rPr>
      </w:pPr>
      <w:r w:rsidRPr="005113A9">
        <w:rPr>
          <w:rFonts w:ascii="Calibri" w:hAnsi="Calibri" w:cs="Arial"/>
          <w:b/>
          <w:bCs/>
          <w:sz w:val="24"/>
          <w:szCs w:val="24"/>
          <w:u w:val="single"/>
        </w:rPr>
        <w:t>b.) Resultado presupuestario</w:t>
      </w:r>
    </w:p>
    <w:p w14:paraId="7F027124" w14:textId="77777777" w:rsidR="00AB2C57" w:rsidRPr="005113A9" w:rsidRDefault="00AB2C57">
      <w:pPr>
        <w:jc w:val="both"/>
        <w:rPr>
          <w:rFonts w:ascii="Calibri" w:hAnsi="Calibri" w:cs="Arial"/>
          <w:b/>
          <w:sz w:val="24"/>
          <w:szCs w:val="24"/>
          <w:u w:val="single"/>
        </w:rPr>
      </w:pPr>
    </w:p>
    <w:p w14:paraId="1BBB6F10" w14:textId="5F696228" w:rsidR="00AB2C57" w:rsidRPr="005113A9" w:rsidRDefault="00AB2C57">
      <w:pPr>
        <w:pStyle w:val="Sangradetextonormal"/>
        <w:ind w:left="0"/>
        <w:jc w:val="both"/>
        <w:rPr>
          <w:rFonts w:ascii="Calibri" w:hAnsi="Calibri" w:cs="Arial"/>
          <w:sz w:val="24"/>
          <w:szCs w:val="24"/>
        </w:rPr>
      </w:pPr>
      <w:r w:rsidRPr="005113A9">
        <w:rPr>
          <w:rFonts w:ascii="Calibri" w:hAnsi="Calibri" w:cs="Arial"/>
          <w:sz w:val="24"/>
          <w:szCs w:val="24"/>
        </w:rPr>
        <w:tab/>
      </w:r>
      <w:r w:rsidR="00583965" w:rsidRPr="00583965">
        <w:rPr>
          <w:rFonts w:ascii="Calibri" w:hAnsi="Calibri" w:cs="Arial"/>
          <w:sz w:val="24"/>
          <w:szCs w:val="24"/>
        </w:rPr>
        <w:t>Los artículos 96 y 97 RD500/90 y el punto 10º de las Normas de elaboración de las Cuentas Anuales incluidas en la Tercera Parte del Plan General de Contabilidad Pública adaptado a la Administración Local, Anexo de la IMNCL, definen el Resultado Presupuestario como la diferencia entre los derechos presupuestarios liquidados y las obligaciones presupuestarias reconocidas durante el ejercicio, sin perjuicio de los ajustes que hayan de realizarse en función de las desviaciones de financiación derivadas de gastos con financiación afectada y de los créditos utilizados correspondientes a modificaciones presupuestarias financiadas con Remanente líquido de Tesorería.</w:t>
      </w:r>
    </w:p>
    <w:p w14:paraId="00A06B65" w14:textId="77777777" w:rsidR="00AB2C57" w:rsidRPr="005113A9" w:rsidRDefault="00AB2C57">
      <w:pPr>
        <w:jc w:val="both"/>
        <w:rPr>
          <w:rFonts w:ascii="Calibri" w:hAnsi="Calibri" w:cs="Arial"/>
          <w:sz w:val="24"/>
          <w:szCs w:val="24"/>
        </w:rPr>
      </w:pPr>
    </w:p>
    <w:p w14:paraId="2544A61C" w14:textId="77777777" w:rsidR="00AB2C57" w:rsidRPr="005113A9" w:rsidRDefault="00AB2C57">
      <w:pPr>
        <w:ind w:firstLine="708"/>
        <w:jc w:val="both"/>
        <w:rPr>
          <w:rFonts w:ascii="Calibri" w:hAnsi="Calibri" w:cs="Arial"/>
          <w:sz w:val="24"/>
          <w:szCs w:val="24"/>
        </w:rPr>
      </w:pPr>
      <w:r w:rsidRPr="005113A9">
        <w:rPr>
          <w:rFonts w:ascii="Calibri" w:hAnsi="Calibri" w:cs="Arial"/>
          <w:sz w:val="24"/>
          <w:szCs w:val="24"/>
        </w:rPr>
        <w:t>Para su cálculo, las obligaciones reconocidas y los derechos liquidados se tomarán por sus valores netos, es decir, una vez deducidas las anulaciones que en unas u otros se hayan podido producir durante el ejercicio.</w:t>
      </w:r>
    </w:p>
    <w:p w14:paraId="55A53E4A" w14:textId="77777777" w:rsidR="00AB2C57" w:rsidRDefault="00AB2C57">
      <w:pPr>
        <w:ind w:firstLine="708"/>
        <w:jc w:val="both"/>
        <w:rPr>
          <w:rFonts w:ascii="Calibri" w:hAnsi="Calibri" w:cs="Arial"/>
          <w:sz w:val="24"/>
          <w:szCs w:val="24"/>
        </w:rPr>
      </w:pPr>
    </w:p>
    <w:p w14:paraId="3F53721D" w14:textId="77777777" w:rsidR="005113A9" w:rsidRDefault="005113A9">
      <w:pPr>
        <w:ind w:firstLine="708"/>
        <w:jc w:val="both"/>
        <w:rPr>
          <w:rFonts w:ascii="Calibri" w:hAnsi="Calibri" w:cs="Arial"/>
          <w:sz w:val="24"/>
          <w:szCs w:val="24"/>
        </w:rPr>
      </w:pPr>
    </w:p>
    <w:p w14:paraId="7F4DA0CB" w14:textId="77777777" w:rsidR="005113A9" w:rsidRPr="005113A9" w:rsidRDefault="005113A9">
      <w:pPr>
        <w:ind w:firstLine="708"/>
        <w:jc w:val="both"/>
        <w:rPr>
          <w:rFonts w:ascii="Calibri" w:hAnsi="Calibri" w:cs="Arial"/>
          <w:sz w:val="24"/>
          <w:szCs w:val="24"/>
        </w:rPr>
      </w:pPr>
    </w:p>
    <w:p w14:paraId="601E78EA" w14:textId="77777777" w:rsidR="00AB2C57" w:rsidRPr="005113A9" w:rsidRDefault="00AB2C57">
      <w:pPr>
        <w:ind w:firstLine="708"/>
        <w:jc w:val="both"/>
        <w:rPr>
          <w:rFonts w:ascii="Calibri" w:hAnsi="Calibri" w:cs="Arial"/>
          <w:sz w:val="24"/>
          <w:szCs w:val="24"/>
        </w:rPr>
      </w:pPr>
      <w:r w:rsidRPr="005113A9">
        <w:rPr>
          <w:rFonts w:ascii="Calibri" w:hAnsi="Calibri" w:cs="Arial"/>
          <w:sz w:val="24"/>
          <w:szCs w:val="24"/>
        </w:rPr>
        <w:t>El resultado presupuestario será positivo, superávit, si los Derechos reconocidos netos son superiores a las Obligaciones reconocidas netas, suponiendo tal situación que los recursos obtenidos durante el ejercicio han permitido la financiación de los gastos realizados. Será negativo, en el caso contrario, cuando los recursos obtenidos hayan sido insuficientes para financiar los gastos realizados.</w:t>
      </w:r>
    </w:p>
    <w:p w14:paraId="0C119BE0" w14:textId="77777777" w:rsidR="00AB2C57" w:rsidRPr="005113A9" w:rsidRDefault="00AB2C57">
      <w:pPr>
        <w:jc w:val="both"/>
        <w:rPr>
          <w:rFonts w:ascii="Calibri" w:hAnsi="Calibri" w:cs="Arial"/>
          <w:sz w:val="24"/>
          <w:szCs w:val="24"/>
        </w:rPr>
      </w:pPr>
    </w:p>
    <w:p w14:paraId="1A95A550" w14:textId="64FCE6E2" w:rsidR="00AB2C57" w:rsidRDefault="00AB2C57">
      <w:pPr>
        <w:jc w:val="both"/>
        <w:rPr>
          <w:rFonts w:ascii="Calibri" w:hAnsi="Calibri" w:cs="Arial"/>
          <w:sz w:val="24"/>
          <w:szCs w:val="24"/>
        </w:rPr>
      </w:pPr>
      <w:r w:rsidRPr="005113A9">
        <w:rPr>
          <w:rFonts w:ascii="Calibri" w:hAnsi="Calibri" w:cs="Arial"/>
          <w:sz w:val="24"/>
          <w:szCs w:val="24"/>
        </w:rPr>
        <w:tab/>
        <w:t xml:space="preserve">Según lo expuesto anteriormente el Resultado presupuestario correspondiente a </w:t>
      </w:r>
      <w:r w:rsidR="002C6AC1">
        <w:rPr>
          <w:rFonts w:ascii="Calibri" w:hAnsi="Calibri" w:cs="Arial"/>
          <w:sz w:val="24"/>
          <w:szCs w:val="24"/>
        </w:rPr>
        <w:t>202</w:t>
      </w:r>
      <w:r w:rsidR="009D2613">
        <w:rPr>
          <w:rFonts w:ascii="Calibri" w:hAnsi="Calibri" w:cs="Arial"/>
          <w:sz w:val="24"/>
          <w:szCs w:val="24"/>
        </w:rPr>
        <w:t>4</w:t>
      </w:r>
      <w:r w:rsidRPr="005113A9">
        <w:rPr>
          <w:rFonts w:ascii="Calibri" w:hAnsi="Calibri" w:cs="Arial"/>
          <w:sz w:val="24"/>
          <w:szCs w:val="24"/>
        </w:rPr>
        <w:t>, es el siguiente:</w:t>
      </w:r>
    </w:p>
    <w:p w14:paraId="45F3776D" w14:textId="497BFFDA" w:rsidR="0070546F" w:rsidRDefault="0070546F">
      <w:pPr>
        <w:jc w:val="both"/>
        <w:rPr>
          <w:noProof/>
        </w:rPr>
      </w:pPr>
    </w:p>
    <w:p w14:paraId="351327F6" w14:textId="3EF2BB93" w:rsidR="00FF6B29" w:rsidRDefault="00FF6B29">
      <w:pPr>
        <w:jc w:val="both"/>
        <w:rPr>
          <w:noProof/>
        </w:rPr>
      </w:pPr>
    </w:p>
    <w:p w14:paraId="68D180F8" w14:textId="71BF4640" w:rsidR="00FF6B29" w:rsidRDefault="009D2613" w:rsidP="00431106">
      <w:pPr>
        <w:jc w:val="center"/>
      </w:pPr>
      <w:r>
        <w:rPr>
          <w:noProof/>
        </w:rPr>
        <w:drawing>
          <wp:inline distT="0" distB="0" distL="0" distR="0" wp14:anchorId="51F6FA83" wp14:editId="00A3007E">
            <wp:extent cx="5759450" cy="3917315"/>
            <wp:effectExtent l="0" t="0" r="0" b="6985"/>
            <wp:docPr id="4" name="Imagen 3" descr="Tabla&#10;&#10;El contenido generado por IA puede ser incorrecto.">
              <a:extLst xmlns:a="http://schemas.openxmlformats.org/drawingml/2006/main">
                <a:ext uri="{FF2B5EF4-FFF2-40B4-BE49-F238E27FC236}">
                  <a16:creationId xmlns:a16="http://schemas.microsoft.com/office/drawing/2014/main" id="{B7267626-D854-D28E-DA12-435270F117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Tabla&#10;&#10;El contenido generado por IA puede ser incorrecto.">
                      <a:extLst>
                        <a:ext uri="{FF2B5EF4-FFF2-40B4-BE49-F238E27FC236}">
                          <a16:creationId xmlns:a16="http://schemas.microsoft.com/office/drawing/2014/main" id="{B7267626-D854-D28E-DA12-435270F117A9}"/>
                        </a:ext>
                      </a:extLst>
                    </pic:cNvPr>
                    <pic:cNvPicPr>
                      <a:picLocks noChangeAspect="1"/>
                    </pic:cNvPicPr>
                  </pic:nvPicPr>
                  <pic:blipFill>
                    <a:blip r:embed="rId11"/>
                    <a:stretch>
                      <a:fillRect/>
                    </a:stretch>
                  </pic:blipFill>
                  <pic:spPr>
                    <a:xfrm>
                      <a:off x="0" y="0"/>
                      <a:ext cx="5759450" cy="3917315"/>
                    </a:xfrm>
                    <a:prstGeom prst="rect">
                      <a:avLst/>
                    </a:prstGeom>
                  </pic:spPr>
                </pic:pic>
              </a:graphicData>
            </a:graphic>
          </wp:inline>
        </w:drawing>
      </w:r>
    </w:p>
    <w:p w14:paraId="645A707F" w14:textId="7C9AB5DD" w:rsidR="00FF6B29" w:rsidRDefault="00FF6B29">
      <w:pPr>
        <w:jc w:val="both"/>
        <w:rPr>
          <w:noProof/>
        </w:rPr>
      </w:pPr>
    </w:p>
    <w:p w14:paraId="563FD78B" w14:textId="6A3CDDDD" w:rsidR="00FF6B29" w:rsidRDefault="00FF6B29">
      <w:pPr>
        <w:jc w:val="both"/>
        <w:rPr>
          <w:noProof/>
        </w:rPr>
      </w:pPr>
    </w:p>
    <w:p w14:paraId="6C35A6CE" w14:textId="70936052" w:rsidR="00AB2C57" w:rsidRPr="005113A9" w:rsidRDefault="00296840">
      <w:pPr>
        <w:jc w:val="both"/>
        <w:rPr>
          <w:rFonts w:ascii="Calibri" w:hAnsi="Calibri" w:cs="Arial"/>
          <w:sz w:val="24"/>
          <w:szCs w:val="24"/>
        </w:rPr>
      </w:pPr>
      <w:r>
        <w:rPr>
          <w:rFonts w:ascii="Calibri" w:hAnsi="Calibri" w:cs="Arial"/>
          <w:b/>
          <w:sz w:val="24"/>
          <w:szCs w:val="24"/>
        </w:rPr>
        <w:tab/>
      </w:r>
      <w:r w:rsidR="00AB2C57" w:rsidRPr="005113A9">
        <w:rPr>
          <w:rFonts w:ascii="Calibri" w:hAnsi="Calibri" w:cs="Arial"/>
          <w:b/>
          <w:sz w:val="24"/>
          <w:szCs w:val="24"/>
          <w:u w:val="single"/>
        </w:rPr>
        <w:t>c.) Remanentes de crédito</w:t>
      </w:r>
    </w:p>
    <w:p w14:paraId="614D1CED" w14:textId="77777777" w:rsidR="00AB2C57" w:rsidRPr="005113A9" w:rsidRDefault="00AB2C57">
      <w:pPr>
        <w:jc w:val="both"/>
        <w:rPr>
          <w:rFonts w:ascii="Calibri" w:hAnsi="Calibri" w:cs="Arial"/>
          <w:sz w:val="24"/>
          <w:szCs w:val="24"/>
        </w:rPr>
      </w:pPr>
    </w:p>
    <w:p w14:paraId="665BA61C" w14:textId="77777777" w:rsidR="00AB2C57" w:rsidRDefault="00AB2C57">
      <w:pPr>
        <w:jc w:val="both"/>
        <w:rPr>
          <w:rFonts w:ascii="Calibri" w:hAnsi="Calibri" w:cs="Arial"/>
          <w:sz w:val="24"/>
          <w:szCs w:val="24"/>
        </w:rPr>
      </w:pPr>
      <w:r w:rsidRPr="005113A9">
        <w:rPr>
          <w:rFonts w:ascii="Calibri" w:hAnsi="Calibri" w:cs="Arial"/>
          <w:sz w:val="24"/>
          <w:szCs w:val="24"/>
        </w:rPr>
        <w:tab/>
        <w:t xml:space="preserve">Conforme a lo establecido en el </w:t>
      </w:r>
      <w:proofErr w:type="spellStart"/>
      <w:r w:rsidRPr="005113A9">
        <w:rPr>
          <w:rFonts w:ascii="Calibri" w:hAnsi="Calibri" w:cs="Arial"/>
          <w:sz w:val="24"/>
          <w:szCs w:val="24"/>
        </w:rPr>
        <w:t>artº</w:t>
      </w:r>
      <w:proofErr w:type="spellEnd"/>
      <w:r w:rsidRPr="005113A9">
        <w:rPr>
          <w:rFonts w:ascii="Calibri" w:hAnsi="Calibri" w:cs="Arial"/>
          <w:sz w:val="24"/>
          <w:szCs w:val="24"/>
        </w:rPr>
        <w:t xml:space="preserve">. 182 TRLHL los créditos que amparen proyectos financiados con ingresos afectados deberán incorporarse obligatoriamente, salvo que se desista total o parcialmente de iniciar o continuar la ejecución del gasto. Por otra parte, serán susceptibles de </w:t>
      </w:r>
      <w:r w:rsidR="00747A51" w:rsidRPr="005113A9">
        <w:rPr>
          <w:rFonts w:ascii="Calibri" w:hAnsi="Calibri" w:cs="Arial"/>
          <w:sz w:val="24"/>
          <w:szCs w:val="24"/>
        </w:rPr>
        <w:t>incorporación siempre</w:t>
      </w:r>
      <w:r w:rsidRPr="005113A9">
        <w:rPr>
          <w:rFonts w:ascii="Calibri" w:hAnsi="Calibri" w:cs="Arial"/>
          <w:sz w:val="24"/>
          <w:szCs w:val="24"/>
        </w:rPr>
        <w:t xml:space="preserve"> que existan para ello los suficientes recursos financieros:</w:t>
      </w:r>
    </w:p>
    <w:p w14:paraId="5A059133" w14:textId="77777777" w:rsidR="00AB2C57" w:rsidRPr="005113A9" w:rsidRDefault="00AB2C57">
      <w:pPr>
        <w:jc w:val="both"/>
        <w:rPr>
          <w:rFonts w:ascii="Calibri" w:hAnsi="Calibri" w:cs="Arial"/>
          <w:sz w:val="24"/>
          <w:szCs w:val="24"/>
        </w:rPr>
      </w:pPr>
    </w:p>
    <w:p w14:paraId="22A03988" w14:textId="77777777" w:rsidR="00AB2C57" w:rsidRPr="005113A9" w:rsidRDefault="00AB2C57">
      <w:pPr>
        <w:jc w:val="both"/>
        <w:rPr>
          <w:rFonts w:ascii="Calibri" w:hAnsi="Calibri" w:cs="Arial"/>
          <w:sz w:val="24"/>
          <w:szCs w:val="24"/>
        </w:rPr>
      </w:pPr>
      <w:r w:rsidRPr="005113A9">
        <w:rPr>
          <w:rFonts w:ascii="Calibri" w:hAnsi="Calibri" w:cs="Arial"/>
          <w:sz w:val="24"/>
          <w:szCs w:val="24"/>
        </w:rPr>
        <w:tab/>
        <w:t>a) Los créditos extraordinarios y los suplementos de crédito, así como las transferencias de crédito, que hayan sido concedidos o autorizados, respectivamente en el último trimestre del ejercicio.</w:t>
      </w:r>
    </w:p>
    <w:p w14:paraId="77CBCE60" w14:textId="77777777" w:rsidR="00AB2C57" w:rsidRPr="005113A9" w:rsidRDefault="00AB2C57">
      <w:pPr>
        <w:jc w:val="both"/>
        <w:rPr>
          <w:rFonts w:ascii="Calibri" w:hAnsi="Calibri" w:cs="Arial"/>
          <w:sz w:val="24"/>
          <w:szCs w:val="24"/>
        </w:rPr>
      </w:pPr>
    </w:p>
    <w:p w14:paraId="60B92D03" w14:textId="77777777" w:rsidR="00AB2C57" w:rsidRPr="005113A9" w:rsidRDefault="00AB2C57">
      <w:pPr>
        <w:jc w:val="both"/>
        <w:rPr>
          <w:rFonts w:ascii="Calibri" w:hAnsi="Calibri" w:cs="Arial"/>
          <w:sz w:val="24"/>
          <w:szCs w:val="24"/>
        </w:rPr>
      </w:pPr>
      <w:r w:rsidRPr="005113A9">
        <w:rPr>
          <w:rFonts w:ascii="Calibri" w:hAnsi="Calibri" w:cs="Arial"/>
          <w:sz w:val="24"/>
          <w:szCs w:val="24"/>
        </w:rPr>
        <w:lastRenderedPageBreak/>
        <w:tab/>
        <w:t xml:space="preserve">b) Los créditos que </w:t>
      </w:r>
      <w:r w:rsidR="00747A51" w:rsidRPr="005113A9">
        <w:rPr>
          <w:rFonts w:ascii="Calibri" w:hAnsi="Calibri" w:cs="Arial"/>
          <w:sz w:val="24"/>
          <w:szCs w:val="24"/>
        </w:rPr>
        <w:t>amparen compromisos</w:t>
      </w:r>
      <w:r w:rsidRPr="005113A9">
        <w:rPr>
          <w:rFonts w:ascii="Calibri" w:hAnsi="Calibri" w:cs="Arial"/>
          <w:sz w:val="24"/>
          <w:szCs w:val="24"/>
        </w:rPr>
        <w:t xml:space="preserve"> de gasto debidamente adquiridos en ejercicios anteriores, previa incorporación.</w:t>
      </w:r>
    </w:p>
    <w:p w14:paraId="3B00BAE9" w14:textId="77777777" w:rsidR="00AB2C57" w:rsidRPr="005113A9" w:rsidRDefault="00AB2C57">
      <w:pPr>
        <w:jc w:val="both"/>
        <w:rPr>
          <w:rFonts w:ascii="Calibri" w:hAnsi="Calibri" w:cs="Arial"/>
          <w:sz w:val="24"/>
          <w:szCs w:val="24"/>
        </w:rPr>
      </w:pPr>
    </w:p>
    <w:p w14:paraId="260F48EC" w14:textId="77777777" w:rsidR="00AB2C57" w:rsidRPr="005113A9" w:rsidRDefault="00AB2C57">
      <w:pPr>
        <w:jc w:val="both"/>
        <w:rPr>
          <w:rFonts w:ascii="Calibri" w:hAnsi="Calibri" w:cs="Arial"/>
          <w:sz w:val="24"/>
          <w:szCs w:val="24"/>
        </w:rPr>
      </w:pPr>
      <w:r w:rsidRPr="005113A9">
        <w:rPr>
          <w:rFonts w:ascii="Calibri" w:hAnsi="Calibri" w:cs="Arial"/>
          <w:sz w:val="24"/>
          <w:szCs w:val="24"/>
        </w:rPr>
        <w:tab/>
        <w:t>c) Los créditos por operaciones de capital.</w:t>
      </w:r>
    </w:p>
    <w:p w14:paraId="336D5C21" w14:textId="77777777" w:rsidR="00AB2C57" w:rsidRPr="005113A9" w:rsidRDefault="00AB2C57">
      <w:pPr>
        <w:jc w:val="both"/>
        <w:rPr>
          <w:rFonts w:ascii="Calibri" w:hAnsi="Calibri" w:cs="Arial"/>
          <w:sz w:val="24"/>
          <w:szCs w:val="24"/>
        </w:rPr>
      </w:pPr>
    </w:p>
    <w:p w14:paraId="05742207" w14:textId="77777777" w:rsidR="00AB2C57" w:rsidRPr="005113A9" w:rsidRDefault="00AB2C57">
      <w:pPr>
        <w:ind w:left="708"/>
        <w:jc w:val="both"/>
        <w:rPr>
          <w:rFonts w:ascii="Calibri" w:hAnsi="Calibri" w:cs="Arial"/>
          <w:sz w:val="24"/>
          <w:szCs w:val="24"/>
        </w:rPr>
      </w:pPr>
      <w:r w:rsidRPr="005113A9">
        <w:rPr>
          <w:rFonts w:ascii="Calibri" w:hAnsi="Calibri" w:cs="Arial"/>
          <w:sz w:val="24"/>
          <w:szCs w:val="24"/>
        </w:rPr>
        <w:t>d) Los créditos autorizados en función de la efectiva recaudación de los ingresos afectados.</w:t>
      </w:r>
    </w:p>
    <w:p w14:paraId="534A1752" w14:textId="77777777" w:rsidR="00AB2C57" w:rsidRPr="005113A9" w:rsidRDefault="00AB2C57">
      <w:pPr>
        <w:jc w:val="both"/>
        <w:rPr>
          <w:rFonts w:ascii="Calibri" w:hAnsi="Calibri" w:cs="Arial"/>
          <w:sz w:val="24"/>
          <w:szCs w:val="24"/>
        </w:rPr>
      </w:pPr>
    </w:p>
    <w:p w14:paraId="5C6D8824" w14:textId="6AF420F1" w:rsidR="00AB2C57" w:rsidRDefault="00AB2C57">
      <w:pPr>
        <w:jc w:val="both"/>
        <w:rPr>
          <w:rFonts w:ascii="Calibri" w:hAnsi="Calibri" w:cs="Arial"/>
          <w:sz w:val="24"/>
          <w:szCs w:val="24"/>
        </w:rPr>
      </w:pPr>
      <w:r w:rsidRPr="005113A9">
        <w:rPr>
          <w:rFonts w:ascii="Calibri" w:hAnsi="Calibri" w:cs="Arial"/>
          <w:sz w:val="24"/>
          <w:szCs w:val="24"/>
        </w:rPr>
        <w:tab/>
      </w:r>
      <w:r w:rsidR="00286DC8">
        <w:rPr>
          <w:rFonts w:ascii="Calibri" w:hAnsi="Calibri" w:cs="Arial"/>
          <w:sz w:val="24"/>
          <w:szCs w:val="24"/>
        </w:rPr>
        <w:t>En el expediente figura la ejecución presupuestaria con el detalle de los remanentes de crédito a final de ejercicio.</w:t>
      </w:r>
    </w:p>
    <w:p w14:paraId="32A0A973" w14:textId="77777777" w:rsidR="007420FA" w:rsidRDefault="007420FA">
      <w:pPr>
        <w:jc w:val="both"/>
        <w:rPr>
          <w:rFonts w:ascii="Calibri" w:hAnsi="Calibri" w:cs="Arial"/>
          <w:sz w:val="24"/>
          <w:szCs w:val="24"/>
        </w:rPr>
      </w:pPr>
    </w:p>
    <w:p w14:paraId="710CC7BC" w14:textId="77777777" w:rsidR="00286DC8" w:rsidRPr="005113A9" w:rsidRDefault="00286DC8">
      <w:pPr>
        <w:jc w:val="both"/>
        <w:rPr>
          <w:rFonts w:ascii="Calibri" w:hAnsi="Calibri" w:cs="Arial"/>
          <w:sz w:val="24"/>
          <w:szCs w:val="24"/>
        </w:rPr>
      </w:pPr>
    </w:p>
    <w:p w14:paraId="12575E67" w14:textId="77777777" w:rsidR="00AB2C57" w:rsidRPr="005113A9" w:rsidRDefault="00AB2C57">
      <w:pPr>
        <w:ind w:firstLine="708"/>
        <w:jc w:val="both"/>
        <w:rPr>
          <w:rFonts w:ascii="Calibri" w:hAnsi="Calibri" w:cs="Arial"/>
          <w:b/>
          <w:sz w:val="24"/>
          <w:szCs w:val="24"/>
          <w:u w:val="single"/>
        </w:rPr>
      </w:pPr>
      <w:r w:rsidRPr="005113A9">
        <w:rPr>
          <w:rFonts w:ascii="Calibri" w:hAnsi="Calibri" w:cs="Arial"/>
          <w:b/>
          <w:bCs/>
          <w:sz w:val="24"/>
          <w:szCs w:val="24"/>
          <w:u w:val="single"/>
        </w:rPr>
        <w:t>d.) Remanente de Tesorería</w:t>
      </w:r>
    </w:p>
    <w:p w14:paraId="2A164F01" w14:textId="77777777" w:rsidR="00286DC8" w:rsidRPr="005113A9" w:rsidRDefault="00286DC8">
      <w:pPr>
        <w:jc w:val="both"/>
        <w:rPr>
          <w:rFonts w:ascii="Calibri" w:hAnsi="Calibri" w:cs="Arial"/>
          <w:b/>
          <w:sz w:val="24"/>
          <w:szCs w:val="24"/>
          <w:u w:val="single"/>
        </w:rPr>
      </w:pPr>
    </w:p>
    <w:p w14:paraId="34E19D2D" w14:textId="77777777" w:rsidR="00AB2C57" w:rsidRDefault="00AB2C57" w:rsidP="00845DFD">
      <w:pPr>
        <w:jc w:val="both"/>
        <w:rPr>
          <w:rFonts w:ascii="Calibri" w:hAnsi="Calibri" w:cs="Arial"/>
          <w:sz w:val="24"/>
          <w:szCs w:val="24"/>
        </w:rPr>
      </w:pPr>
      <w:r w:rsidRPr="005113A9">
        <w:rPr>
          <w:rFonts w:ascii="Calibri" w:hAnsi="Calibri" w:cs="Arial"/>
          <w:b/>
          <w:sz w:val="24"/>
          <w:szCs w:val="24"/>
        </w:rPr>
        <w:tab/>
      </w:r>
      <w:r w:rsidRPr="005113A9">
        <w:rPr>
          <w:rFonts w:ascii="Calibri" w:hAnsi="Calibri" w:cs="Arial"/>
          <w:sz w:val="24"/>
          <w:szCs w:val="24"/>
        </w:rPr>
        <w:t xml:space="preserve">Los artículos 191.2 TRLHL y 101.1 RD 500/90, así como las Reglas 83 a 86 IMNCL establecen que los conceptos que integran el remanente de tesorería serán: las obligaciones reconocidas y liquidadas no satisfechas, los derechos pendientes de cobro y los fondos líquidos a 31 de diciembre. </w:t>
      </w:r>
    </w:p>
    <w:p w14:paraId="4E578995" w14:textId="77777777" w:rsidR="00845DFD" w:rsidRDefault="00845DFD" w:rsidP="00845DFD">
      <w:pPr>
        <w:jc w:val="both"/>
        <w:rPr>
          <w:rFonts w:ascii="Calibri" w:hAnsi="Calibri" w:cs="Arial"/>
          <w:sz w:val="24"/>
          <w:szCs w:val="24"/>
        </w:rPr>
      </w:pPr>
    </w:p>
    <w:p w14:paraId="0F4608DA" w14:textId="77777777" w:rsidR="00845DFD" w:rsidRDefault="00845DFD" w:rsidP="00845DFD">
      <w:pPr>
        <w:jc w:val="both"/>
        <w:rPr>
          <w:rFonts w:ascii="Calibri" w:hAnsi="Calibri" w:cs="Arial"/>
          <w:sz w:val="24"/>
          <w:szCs w:val="24"/>
        </w:rPr>
      </w:pPr>
      <w:r>
        <w:rPr>
          <w:rFonts w:ascii="Calibri" w:hAnsi="Calibri" w:cs="Arial"/>
          <w:sz w:val="24"/>
          <w:szCs w:val="24"/>
        </w:rPr>
        <w:tab/>
      </w:r>
      <w:r w:rsidRPr="00595226">
        <w:rPr>
          <w:rFonts w:ascii="Calibri" w:hAnsi="Calibri" w:cs="Arial"/>
          <w:sz w:val="24"/>
          <w:szCs w:val="24"/>
        </w:rPr>
        <w:t xml:space="preserve">La dotación para saldos de dudoso cobro se considera necesaria a la vista de la antigüedad y características de los derechos pendientes de ejercicios cerrados a la fecha final del citado ejercicio. El </w:t>
      </w:r>
      <w:proofErr w:type="spellStart"/>
      <w:r w:rsidRPr="00595226">
        <w:rPr>
          <w:rFonts w:ascii="Calibri" w:hAnsi="Calibri" w:cs="Arial"/>
          <w:sz w:val="24"/>
          <w:szCs w:val="24"/>
        </w:rPr>
        <w:t>artº</w:t>
      </w:r>
      <w:proofErr w:type="spellEnd"/>
      <w:r w:rsidRPr="00595226">
        <w:rPr>
          <w:rFonts w:ascii="Calibri" w:hAnsi="Calibri" w:cs="Arial"/>
          <w:sz w:val="24"/>
          <w:szCs w:val="24"/>
        </w:rPr>
        <w:t xml:space="preserve">. 103.2) del R.D. 500/1990, de 20 de </w:t>
      </w:r>
      <w:r w:rsidR="00747A51" w:rsidRPr="00595226">
        <w:rPr>
          <w:rFonts w:ascii="Calibri" w:hAnsi="Calibri" w:cs="Arial"/>
          <w:sz w:val="24"/>
          <w:szCs w:val="24"/>
        </w:rPr>
        <w:t>abril, establece</w:t>
      </w:r>
      <w:r w:rsidRPr="00595226">
        <w:rPr>
          <w:rFonts w:ascii="Calibri" w:hAnsi="Calibri" w:cs="Arial"/>
          <w:sz w:val="24"/>
          <w:szCs w:val="24"/>
        </w:rPr>
        <w:t xml:space="preserve"> que la determinación de la cuantía de los derechos que se consideren de difícil o imposible recaudación podrá realizarse bien de forma individualizada, bien mediante la fijación de un porcentaje a tanto alzado. Para su cuantificación se han aplicado los límites mínimos de los criterios determinantes de los derechos de difícil o imposible recaudación establecidos en el artículo 193 bis TRLRHL</w:t>
      </w:r>
      <w:r w:rsidR="00286DC8">
        <w:rPr>
          <w:rFonts w:ascii="Calibri" w:hAnsi="Calibri" w:cs="Arial"/>
          <w:sz w:val="24"/>
          <w:szCs w:val="24"/>
        </w:rPr>
        <w:t>.</w:t>
      </w:r>
    </w:p>
    <w:p w14:paraId="0CCE4002" w14:textId="77777777" w:rsidR="00286DC8" w:rsidRPr="00595226" w:rsidRDefault="00286DC8" w:rsidP="00845DFD">
      <w:pPr>
        <w:jc w:val="both"/>
        <w:rPr>
          <w:rFonts w:ascii="Calibri" w:hAnsi="Calibri" w:cs="Arial"/>
          <w:sz w:val="24"/>
          <w:szCs w:val="24"/>
        </w:rPr>
      </w:pPr>
    </w:p>
    <w:p w14:paraId="5F7A31AA" w14:textId="77777777" w:rsidR="00845DFD" w:rsidRPr="00595226" w:rsidRDefault="00845DFD" w:rsidP="00845DFD">
      <w:pPr>
        <w:jc w:val="both"/>
        <w:rPr>
          <w:rFonts w:ascii="Calibri" w:hAnsi="Calibri" w:cs="Arial"/>
          <w:sz w:val="24"/>
          <w:szCs w:val="24"/>
        </w:rPr>
      </w:pPr>
      <w:r w:rsidRPr="00595226">
        <w:rPr>
          <w:rFonts w:ascii="Calibri" w:hAnsi="Calibri" w:cs="Arial"/>
          <w:sz w:val="24"/>
          <w:szCs w:val="24"/>
        </w:rPr>
        <w:tab/>
        <w:t>En otro orden de cosas, debe tenerse en cuenta la existencia de ingresos afectados pues, en tal caso, el Remanente de Tesorería debe desglosarse en dos partes: el correspondiente a dichos gastos con financiación afectada y el Remanente de Tesorería para gastos generales.</w:t>
      </w:r>
    </w:p>
    <w:p w14:paraId="6DD035A6" w14:textId="77777777" w:rsidR="00845DFD" w:rsidRPr="00595226" w:rsidRDefault="00845DFD" w:rsidP="00845DFD">
      <w:pPr>
        <w:jc w:val="both"/>
        <w:rPr>
          <w:rFonts w:ascii="Calibri" w:hAnsi="Calibri" w:cs="Arial"/>
          <w:sz w:val="24"/>
          <w:szCs w:val="24"/>
        </w:rPr>
      </w:pPr>
    </w:p>
    <w:p w14:paraId="67A71AE9" w14:textId="77777777" w:rsidR="00845DFD" w:rsidRPr="00595226" w:rsidRDefault="00845DFD" w:rsidP="00845DFD">
      <w:pPr>
        <w:jc w:val="both"/>
        <w:rPr>
          <w:rFonts w:ascii="Calibri" w:hAnsi="Calibri" w:cs="Arial"/>
          <w:sz w:val="24"/>
          <w:szCs w:val="24"/>
        </w:rPr>
      </w:pPr>
      <w:r w:rsidRPr="00595226">
        <w:rPr>
          <w:rFonts w:ascii="Calibri" w:hAnsi="Calibri" w:cs="Arial"/>
          <w:sz w:val="24"/>
          <w:szCs w:val="24"/>
        </w:rPr>
        <w:tab/>
      </w:r>
      <w:r w:rsidR="00747A51" w:rsidRPr="00595226">
        <w:rPr>
          <w:rFonts w:ascii="Calibri" w:hAnsi="Calibri" w:cs="Arial"/>
          <w:sz w:val="24"/>
          <w:szCs w:val="24"/>
        </w:rPr>
        <w:t>Finalmente,</w:t>
      </w:r>
      <w:r w:rsidRPr="00595226">
        <w:rPr>
          <w:rFonts w:ascii="Calibri" w:hAnsi="Calibri" w:cs="Arial"/>
          <w:sz w:val="24"/>
          <w:szCs w:val="24"/>
        </w:rPr>
        <w:t xml:space="preserve"> y de conformidad con el artículo 101, apartados 2 y 3.c) RD500/</w:t>
      </w:r>
      <w:r w:rsidR="00747A51" w:rsidRPr="00595226">
        <w:rPr>
          <w:rFonts w:ascii="Calibri" w:hAnsi="Calibri" w:cs="Arial"/>
          <w:sz w:val="24"/>
          <w:szCs w:val="24"/>
        </w:rPr>
        <w:t>90, el</w:t>
      </w:r>
      <w:r w:rsidRPr="00595226">
        <w:rPr>
          <w:rFonts w:ascii="Calibri" w:hAnsi="Calibri" w:cs="Arial"/>
          <w:sz w:val="24"/>
          <w:szCs w:val="24"/>
        </w:rPr>
        <w:t xml:space="preserve"> Remanente de Tesorería incluye los derechos y obligaciones derivados de las cuentas de carácter no presupuestario.</w:t>
      </w:r>
    </w:p>
    <w:p w14:paraId="10C0555B" w14:textId="77777777" w:rsidR="00286DC8" w:rsidRPr="00595226" w:rsidRDefault="00286DC8" w:rsidP="00845DFD">
      <w:pPr>
        <w:jc w:val="both"/>
        <w:rPr>
          <w:rFonts w:ascii="Calibri" w:hAnsi="Calibri" w:cs="Arial"/>
          <w:sz w:val="24"/>
          <w:szCs w:val="24"/>
        </w:rPr>
      </w:pPr>
    </w:p>
    <w:p w14:paraId="3D974F70" w14:textId="77777777" w:rsidR="00AB2C57" w:rsidRDefault="00845DFD">
      <w:pPr>
        <w:jc w:val="both"/>
        <w:rPr>
          <w:rFonts w:ascii="Calibri" w:hAnsi="Calibri" w:cs="Arial"/>
          <w:sz w:val="24"/>
          <w:szCs w:val="24"/>
        </w:rPr>
      </w:pPr>
      <w:r w:rsidRPr="00595226">
        <w:rPr>
          <w:rFonts w:ascii="Calibri" w:hAnsi="Calibri" w:cs="Arial"/>
          <w:sz w:val="24"/>
          <w:szCs w:val="24"/>
        </w:rPr>
        <w:tab/>
        <w:t>El Remanente de Tesorería no figura reflejado en una cuenta concreta de la contabilidad del Ayuntamiento, sino que se obtiene de los datos que figuran en la Contabilidad del Ente, antes de su cierre. Esto es, los datos para su cuantificación se tomarán de la situación que presente la Contabilidad después de realizados los asientos de regularización previos al cierre de la Contabilidad que corresponde a la última anotación contable del ejercicio.</w:t>
      </w:r>
    </w:p>
    <w:p w14:paraId="70CF4B2F" w14:textId="77777777" w:rsidR="00845DFD" w:rsidRPr="00845DFD" w:rsidRDefault="00845DFD">
      <w:pPr>
        <w:jc w:val="both"/>
        <w:rPr>
          <w:rFonts w:ascii="Calibri" w:hAnsi="Calibri" w:cs="Arial"/>
          <w:sz w:val="24"/>
          <w:szCs w:val="24"/>
        </w:rPr>
      </w:pPr>
    </w:p>
    <w:p w14:paraId="52938A08" w14:textId="62413DE8" w:rsidR="0070546F" w:rsidRDefault="0070546F" w:rsidP="008565A2">
      <w:pPr>
        <w:jc w:val="both"/>
        <w:rPr>
          <w:noProof/>
        </w:rPr>
      </w:pPr>
    </w:p>
    <w:p w14:paraId="7BF0E5EA" w14:textId="74EA310D" w:rsidR="00FF6B29" w:rsidRDefault="007D36BC" w:rsidP="007D36BC">
      <w:pPr>
        <w:jc w:val="center"/>
      </w:pPr>
      <w:r>
        <w:rPr>
          <w:noProof/>
        </w:rPr>
        <w:lastRenderedPageBreak/>
        <w:drawing>
          <wp:inline distT="0" distB="0" distL="0" distR="0" wp14:anchorId="5768AD44" wp14:editId="756528DE">
            <wp:extent cx="5759450" cy="5278120"/>
            <wp:effectExtent l="0" t="0" r="0" b="0"/>
            <wp:docPr id="3" name="Imagen 2" descr="Interfaz de usuario gráfica, Texto, Aplicación&#10;&#10;El contenido generado por IA puede ser incorrecto.">
              <a:extLst xmlns:a="http://schemas.openxmlformats.org/drawingml/2006/main">
                <a:ext uri="{FF2B5EF4-FFF2-40B4-BE49-F238E27FC236}">
                  <a16:creationId xmlns:a16="http://schemas.microsoft.com/office/drawing/2014/main" id="{DAB1B7E8-DB71-24D5-2496-0A8D433486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 Texto, Aplicación&#10;&#10;El contenido generado por IA puede ser incorrecto.">
                      <a:extLst>
                        <a:ext uri="{FF2B5EF4-FFF2-40B4-BE49-F238E27FC236}">
                          <a16:creationId xmlns:a16="http://schemas.microsoft.com/office/drawing/2014/main" id="{DAB1B7E8-DB71-24D5-2496-0A8D4334863E}"/>
                        </a:ext>
                      </a:extLst>
                    </pic:cNvPr>
                    <pic:cNvPicPr>
                      <a:picLocks noChangeAspect="1"/>
                    </pic:cNvPicPr>
                  </pic:nvPicPr>
                  <pic:blipFill>
                    <a:blip r:embed="rId12"/>
                    <a:stretch>
                      <a:fillRect/>
                    </a:stretch>
                  </pic:blipFill>
                  <pic:spPr>
                    <a:xfrm>
                      <a:off x="0" y="0"/>
                      <a:ext cx="5759450" cy="5278120"/>
                    </a:xfrm>
                    <a:prstGeom prst="rect">
                      <a:avLst/>
                    </a:prstGeom>
                  </pic:spPr>
                </pic:pic>
              </a:graphicData>
            </a:graphic>
          </wp:inline>
        </w:drawing>
      </w:r>
    </w:p>
    <w:p w14:paraId="1DE4868F" w14:textId="630ACB74" w:rsidR="00FF6B29" w:rsidRDefault="00FF6B29" w:rsidP="008565A2">
      <w:pPr>
        <w:jc w:val="both"/>
        <w:rPr>
          <w:noProof/>
        </w:rPr>
      </w:pPr>
    </w:p>
    <w:p w14:paraId="5D3E6521" w14:textId="77777777" w:rsidR="00BC400C" w:rsidRDefault="00BC400C" w:rsidP="00721A6B">
      <w:pPr>
        <w:jc w:val="both"/>
        <w:rPr>
          <w:rFonts w:ascii="Calibri" w:hAnsi="Calibri" w:cs="Arial"/>
          <w:sz w:val="24"/>
          <w:szCs w:val="24"/>
        </w:rPr>
      </w:pPr>
    </w:p>
    <w:p w14:paraId="69C6F5B0" w14:textId="542CFEF8" w:rsidR="00AB2C57" w:rsidRPr="005113A9" w:rsidRDefault="00AB2C57">
      <w:pPr>
        <w:ind w:firstLine="720"/>
        <w:jc w:val="both"/>
        <w:rPr>
          <w:rFonts w:ascii="Calibri" w:eastAsia="Arial" w:hAnsi="Calibri" w:cs="Arial"/>
          <w:b/>
          <w:sz w:val="24"/>
          <w:szCs w:val="24"/>
        </w:rPr>
      </w:pPr>
      <w:r w:rsidRPr="005113A9">
        <w:rPr>
          <w:rFonts w:ascii="Calibri" w:hAnsi="Calibri" w:cs="Arial"/>
          <w:sz w:val="24"/>
          <w:szCs w:val="24"/>
        </w:rPr>
        <w:t>El artículo 32 de la L.O. 2/2012, de 27 de abril, de Estabilidad presupuestaria y Sostenibilidad Financiera (LOEPSF) establece:</w:t>
      </w:r>
    </w:p>
    <w:p w14:paraId="10CC59E0" w14:textId="77777777" w:rsidR="00AB2C57" w:rsidRPr="005113A9" w:rsidRDefault="00AB2C57">
      <w:pPr>
        <w:pStyle w:val="NormalWeb"/>
        <w:jc w:val="both"/>
        <w:rPr>
          <w:rStyle w:val="nfasis"/>
          <w:rFonts w:ascii="Calibri" w:hAnsi="Calibri" w:cs="Arial"/>
          <w:b/>
          <w:bCs/>
        </w:rPr>
      </w:pPr>
      <w:r w:rsidRPr="005113A9">
        <w:rPr>
          <w:rFonts w:ascii="Calibri" w:eastAsia="Arial" w:hAnsi="Calibri" w:cs="Arial"/>
          <w:b/>
        </w:rPr>
        <w:t xml:space="preserve"> </w:t>
      </w:r>
      <w:r w:rsidRPr="005113A9">
        <w:rPr>
          <w:rFonts w:ascii="Calibri" w:hAnsi="Calibri" w:cs="Arial"/>
          <w:b/>
        </w:rPr>
        <w:tab/>
      </w:r>
      <w:r w:rsidRPr="005113A9">
        <w:rPr>
          <w:rStyle w:val="nfasis"/>
          <w:rFonts w:ascii="Calibri" w:hAnsi="Calibri" w:cs="Arial"/>
          <w:b/>
          <w:bCs/>
        </w:rPr>
        <w:t xml:space="preserve">1. </w:t>
      </w:r>
      <w:r w:rsidRPr="005113A9">
        <w:rPr>
          <w:rStyle w:val="nfasis"/>
          <w:rFonts w:ascii="Calibri" w:hAnsi="Calibri" w:cs="Arial"/>
        </w:rPr>
        <w:t>En el supuesto de que la liquidación presupuestaria se sitúe en superávit, este se destinará, en el caso del Estado, Comunidades Autónomas, y Corporaciones Locales, a reducir el nivel de endeudamiento neto siempre con el límite del volumen de endeudamiento si éste fuera inferior al importe del superávit a destinar a la reducción de deuda.</w:t>
      </w:r>
      <w:r w:rsidRPr="005113A9">
        <w:rPr>
          <w:rFonts w:ascii="Calibri" w:hAnsi="Calibri" w:cs="Arial"/>
        </w:rPr>
        <w:t xml:space="preserve"> </w:t>
      </w:r>
    </w:p>
    <w:p w14:paraId="0AA0A04C" w14:textId="77777777" w:rsidR="00AB2C57" w:rsidRPr="005113A9" w:rsidRDefault="00AB2C57">
      <w:pPr>
        <w:pStyle w:val="NormalWeb"/>
        <w:ind w:firstLine="708"/>
        <w:jc w:val="both"/>
        <w:rPr>
          <w:rStyle w:val="nfasis"/>
          <w:rFonts w:ascii="Calibri" w:hAnsi="Calibri" w:cs="Arial"/>
          <w:b/>
          <w:bCs/>
        </w:rPr>
      </w:pPr>
      <w:r w:rsidRPr="005113A9">
        <w:rPr>
          <w:rStyle w:val="nfasis"/>
          <w:rFonts w:ascii="Calibri" w:hAnsi="Calibri" w:cs="Arial"/>
          <w:b/>
          <w:bCs/>
        </w:rPr>
        <w:t xml:space="preserve">2. </w:t>
      </w:r>
      <w:r w:rsidRPr="005113A9">
        <w:rPr>
          <w:rStyle w:val="nfasis"/>
          <w:rFonts w:ascii="Calibri" w:hAnsi="Calibri" w:cs="Arial"/>
        </w:rPr>
        <w:t>En el caso de la Seguridad Social, el superávit se aplicará prioritariamente al Fondo de Reserva, con la finalidad de atender a las necesidades futuras del sistema.</w:t>
      </w:r>
      <w:r w:rsidRPr="005113A9">
        <w:rPr>
          <w:rFonts w:ascii="Calibri" w:hAnsi="Calibri" w:cs="Arial"/>
        </w:rPr>
        <w:t xml:space="preserve"> </w:t>
      </w:r>
    </w:p>
    <w:p w14:paraId="6CED88D4" w14:textId="66F9AA04" w:rsidR="007420FA" w:rsidRDefault="00AB2C57" w:rsidP="00176B8D">
      <w:pPr>
        <w:pStyle w:val="NormalWeb"/>
        <w:ind w:firstLine="708"/>
        <w:jc w:val="both"/>
        <w:rPr>
          <w:rFonts w:ascii="Calibri" w:hAnsi="Calibri" w:cs="Arial"/>
        </w:rPr>
      </w:pPr>
      <w:r w:rsidRPr="005113A9">
        <w:rPr>
          <w:rStyle w:val="nfasis"/>
          <w:rFonts w:ascii="Calibri" w:hAnsi="Calibri" w:cs="Arial"/>
          <w:b/>
          <w:bCs/>
        </w:rPr>
        <w:t xml:space="preserve">3. </w:t>
      </w:r>
      <w:r w:rsidRPr="005113A9">
        <w:rPr>
          <w:rStyle w:val="nfasis"/>
          <w:rFonts w:ascii="Calibri" w:hAnsi="Calibri" w:cs="Arial"/>
        </w:rPr>
        <w:t xml:space="preserve">A efectos de lo previsto en este artículo se entiende por superávit la capacidad de financiación según el sistema europeo de cuentas y por endeudamiento la deuda pública a </w:t>
      </w:r>
      <w:r w:rsidRPr="00CD697B">
        <w:rPr>
          <w:rStyle w:val="nfasis"/>
          <w:rFonts w:ascii="Calibri" w:hAnsi="Calibri" w:cs="Arial"/>
        </w:rPr>
        <w:t>efectos del procedimiento de déficit excesivo tal y como se define en la normativa europea.</w:t>
      </w:r>
      <w:r w:rsidRPr="00CD697B">
        <w:rPr>
          <w:rFonts w:ascii="Calibri" w:hAnsi="Calibri" w:cs="Arial"/>
        </w:rPr>
        <w:t xml:space="preserve"> </w:t>
      </w:r>
    </w:p>
    <w:p w14:paraId="25D37E4C" w14:textId="69F4B0AD" w:rsidR="00AB2C57" w:rsidRDefault="00AB2C57">
      <w:pPr>
        <w:jc w:val="both"/>
        <w:rPr>
          <w:rFonts w:ascii="Calibri" w:hAnsi="Calibri" w:cs="Arial"/>
          <w:b/>
          <w:bCs/>
          <w:sz w:val="24"/>
          <w:szCs w:val="24"/>
          <w:u w:val="single"/>
        </w:rPr>
      </w:pPr>
    </w:p>
    <w:p w14:paraId="661007B7" w14:textId="77777777" w:rsidR="008C2388" w:rsidRDefault="00DF2D1A" w:rsidP="008C2388">
      <w:pPr>
        <w:jc w:val="both"/>
        <w:rPr>
          <w:rFonts w:ascii="Calibri" w:hAnsi="Calibri" w:cs="Arial"/>
          <w:sz w:val="24"/>
          <w:szCs w:val="24"/>
        </w:rPr>
      </w:pPr>
      <w:r>
        <w:rPr>
          <w:rFonts w:ascii="Calibri" w:hAnsi="Calibri" w:cs="Arial"/>
          <w:sz w:val="24"/>
          <w:szCs w:val="24"/>
        </w:rPr>
        <w:tab/>
      </w:r>
      <w:r w:rsidR="008C2388">
        <w:rPr>
          <w:rFonts w:ascii="Calibri" w:hAnsi="Calibri" w:cs="Arial"/>
          <w:sz w:val="24"/>
          <w:szCs w:val="24"/>
        </w:rPr>
        <w:t>La Secretaría General de Financiación Autonómica y Local del Ministerio de Hacienda ha interpretado que l</w:t>
      </w:r>
      <w:r w:rsidR="008C2388" w:rsidRPr="006472F6">
        <w:rPr>
          <w:rFonts w:ascii="Calibri" w:hAnsi="Calibri" w:cs="Arial"/>
          <w:sz w:val="24"/>
          <w:szCs w:val="24"/>
        </w:rPr>
        <w:t>a suspensión de las reglas fiscales ha supuesto que el superávit no tenga que</w:t>
      </w:r>
      <w:r w:rsidR="008C2388">
        <w:rPr>
          <w:rFonts w:ascii="Calibri" w:hAnsi="Calibri" w:cs="Arial"/>
          <w:sz w:val="24"/>
          <w:szCs w:val="24"/>
        </w:rPr>
        <w:t xml:space="preserve"> </w:t>
      </w:r>
      <w:r w:rsidR="008C2388" w:rsidRPr="006472F6">
        <w:rPr>
          <w:rFonts w:ascii="Calibri" w:hAnsi="Calibri" w:cs="Arial"/>
          <w:sz w:val="24"/>
          <w:szCs w:val="24"/>
        </w:rPr>
        <w:t>dedicarse a amortizar deuda, aun siendo posible realizar esta amortización si la EELL</w:t>
      </w:r>
      <w:r w:rsidR="008C2388">
        <w:rPr>
          <w:rFonts w:ascii="Calibri" w:hAnsi="Calibri" w:cs="Arial"/>
          <w:sz w:val="24"/>
          <w:szCs w:val="24"/>
        </w:rPr>
        <w:t xml:space="preserve"> </w:t>
      </w:r>
      <w:r w:rsidR="008C2388" w:rsidRPr="006472F6">
        <w:rPr>
          <w:rFonts w:ascii="Calibri" w:hAnsi="Calibri" w:cs="Arial"/>
          <w:sz w:val="24"/>
          <w:szCs w:val="24"/>
        </w:rPr>
        <w:t>lo considera. La regla del artículo 32 de la LOEPSF puede no aplicarse a partir del</w:t>
      </w:r>
      <w:r w:rsidR="008C2388">
        <w:rPr>
          <w:rFonts w:ascii="Calibri" w:hAnsi="Calibri" w:cs="Arial"/>
          <w:sz w:val="24"/>
          <w:szCs w:val="24"/>
        </w:rPr>
        <w:t xml:space="preserve"> </w:t>
      </w:r>
      <w:r w:rsidR="008C2388" w:rsidRPr="006472F6">
        <w:rPr>
          <w:rFonts w:ascii="Calibri" w:hAnsi="Calibri" w:cs="Arial"/>
          <w:sz w:val="24"/>
          <w:szCs w:val="24"/>
        </w:rPr>
        <w:t>momento en</w:t>
      </w:r>
      <w:r w:rsidR="008C2388">
        <w:rPr>
          <w:rFonts w:ascii="Calibri" w:hAnsi="Calibri" w:cs="Arial"/>
          <w:sz w:val="24"/>
          <w:szCs w:val="24"/>
        </w:rPr>
        <w:t xml:space="preserve"> </w:t>
      </w:r>
      <w:r w:rsidR="008C2388" w:rsidRPr="006472F6">
        <w:rPr>
          <w:rFonts w:ascii="Calibri" w:hAnsi="Calibri" w:cs="Arial"/>
          <w:sz w:val="24"/>
          <w:szCs w:val="24"/>
        </w:rPr>
        <w:t>que se han suspendido las reglas fiscales, ya que estas son el fundamento</w:t>
      </w:r>
      <w:r w:rsidR="008C2388">
        <w:rPr>
          <w:rFonts w:ascii="Calibri" w:hAnsi="Calibri" w:cs="Arial"/>
          <w:sz w:val="24"/>
          <w:szCs w:val="24"/>
        </w:rPr>
        <w:t xml:space="preserve"> </w:t>
      </w:r>
      <w:r w:rsidR="008C2388" w:rsidRPr="006472F6">
        <w:rPr>
          <w:rFonts w:ascii="Calibri" w:hAnsi="Calibri" w:cs="Arial"/>
          <w:sz w:val="24"/>
          <w:szCs w:val="24"/>
        </w:rPr>
        <w:t>de aquella regla</w:t>
      </w:r>
      <w:r w:rsidR="008C2388">
        <w:rPr>
          <w:rFonts w:ascii="Calibri" w:hAnsi="Calibri" w:cs="Arial"/>
          <w:sz w:val="24"/>
          <w:szCs w:val="24"/>
        </w:rPr>
        <w:t>.</w:t>
      </w:r>
    </w:p>
    <w:p w14:paraId="0CCB9A73" w14:textId="1004F690" w:rsidR="00176B8D" w:rsidRDefault="00176B8D" w:rsidP="008C2388">
      <w:pPr>
        <w:jc w:val="both"/>
        <w:rPr>
          <w:rFonts w:ascii="Calibri" w:hAnsi="Calibri" w:cs="Arial"/>
          <w:b/>
          <w:bCs/>
          <w:sz w:val="24"/>
          <w:szCs w:val="24"/>
          <w:u w:val="single"/>
        </w:rPr>
      </w:pPr>
    </w:p>
    <w:p w14:paraId="27D6399C" w14:textId="77777777" w:rsidR="00176B8D" w:rsidRDefault="00176B8D">
      <w:pPr>
        <w:jc w:val="both"/>
        <w:rPr>
          <w:rFonts w:ascii="Calibri" w:hAnsi="Calibri" w:cs="Arial"/>
          <w:b/>
          <w:bCs/>
          <w:sz w:val="24"/>
          <w:szCs w:val="24"/>
          <w:u w:val="single"/>
        </w:rPr>
      </w:pPr>
    </w:p>
    <w:p w14:paraId="471918C8" w14:textId="77777777" w:rsidR="00D64B57" w:rsidRPr="002D2DEC" w:rsidRDefault="00D64B57">
      <w:pPr>
        <w:jc w:val="both"/>
        <w:rPr>
          <w:rFonts w:ascii="Calibri" w:hAnsi="Calibri" w:cs="Arial"/>
          <w:b/>
          <w:bCs/>
          <w:sz w:val="24"/>
          <w:szCs w:val="24"/>
          <w:u w:val="single"/>
        </w:rPr>
      </w:pPr>
    </w:p>
    <w:p w14:paraId="3DA0F969" w14:textId="77777777" w:rsidR="00AB2C57" w:rsidRPr="005113A9" w:rsidRDefault="00AB2C57">
      <w:pPr>
        <w:ind w:firstLine="708"/>
        <w:jc w:val="both"/>
        <w:rPr>
          <w:rFonts w:ascii="Calibri" w:hAnsi="Calibri" w:cs="Arial"/>
          <w:b/>
          <w:sz w:val="24"/>
          <w:szCs w:val="24"/>
          <w:u w:val="single"/>
        </w:rPr>
      </w:pPr>
      <w:r w:rsidRPr="002D2DEC">
        <w:rPr>
          <w:rFonts w:ascii="Calibri" w:hAnsi="Calibri" w:cs="Arial"/>
          <w:b/>
          <w:bCs/>
          <w:sz w:val="24"/>
          <w:szCs w:val="24"/>
          <w:u w:val="single"/>
        </w:rPr>
        <w:t>e.) Recursos liquidados por operaciones corrientes en el ejercicio</w:t>
      </w:r>
    </w:p>
    <w:p w14:paraId="638CF5C7" w14:textId="6FA71FBA" w:rsidR="00AB2C57" w:rsidRDefault="00AB2C57">
      <w:pPr>
        <w:jc w:val="both"/>
        <w:rPr>
          <w:rFonts w:ascii="Calibri" w:hAnsi="Calibri" w:cs="Arial"/>
          <w:b/>
          <w:sz w:val="24"/>
          <w:szCs w:val="24"/>
          <w:u w:val="single"/>
        </w:rPr>
      </w:pPr>
    </w:p>
    <w:p w14:paraId="7979265E" w14:textId="77777777" w:rsidR="007420FA" w:rsidRPr="005113A9" w:rsidRDefault="007420FA">
      <w:pPr>
        <w:jc w:val="both"/>
        <w:rPr>
          <w:rFonts w:ascii="Calibri" w:hAnsi="Calibri" w:cs="Arial"/>
          <w:b/>
          <w:sz w:val="24"/>
          <w:szCs w:val="24"/>
          <w:u w:val="single"/>
        </w:rPr>
      </w:pPr>
    </w:p>
    <w:p w14:paraId="31BDBBD2" w14:textId="0C3C569E" w:rsidR="00AB2C57" w:rsidRPr="005113A9" w:rsidRDefault="00AB2C57">
      <w:pPr>
        <w:pStyle w:val="Textoindependiente21"/>
        <w:rPr>
          <w:rFonts w:ascii="Calibri" w:hAnsi="Calibri"/>
          <w:sz w:val="24"/>
          <w:szCs w:val="24"/>
        </w:rPr>
      </w:pPr>
      <w:r w:rsidRPr="005113A9">
        <w:rPr>
          <w:rFonts w:ascii="Calibri" w:hAnsi="Calibri"/>
          <w:sz w:val="24"/>
          <w:szCs w:val="24"/>
        </w:rPr>
        <w:tab/>
        <w:t xml:space="preserve">Los recursos liquidados por operaciones corrientes en el ejercicio </w:t>
      </w:r>
      <w:r w:rsidR="002C6AC1">
        <w:rPr>
          <w:rFonts w:ascii="Calibri" w:hAnsi="Calibri"/>
          <w:sz w:val="24"/>
          <w:szCs w:val="24"/>
        </w:rPr>
        <w:t>202</w:t>
      </w:r>
      <w:r w:rsidR="007D36BC">
        <w:rPr>
          <w:rFonts w:ascii="Calibri" w:hAnsi="Calibri"/>
          <w:sz w:val="24"/>
          <w:szCs w:val="24"/>
        </w:rPr>
        <w:t>4</w:t>
      </w:r>
      <w:r w:rsidRPr="005113A9">
        <w:rPr>
          <w:rFonts w:ascii="Calibri" w:hAnsi="Calibri"/>
          <w:sz w:val="24"/>
          <w:szCs w:val="24"/>
        </w:rPr>
        <w:t xml:space="preserve"> son los siguientes:</w:t>
      </w:r>
    </w:p>
    <w:p w14:paraId="56DB29AD" w14:textId="77777777" w:rsidR="00591366" w:rsidRPr="005113A9" w:rsidRDefault="00591366">
      <w:pPr>
        <w:pStyle w:val="Textoindependiente21"/>
        <w:rPr>
          <w:rFonts w:ascii="Calibri" w:hAnsi="Calibri"/>
          <w:sz w:val="24"/>
          <w:szCs w:val="24"/>
        </w:rPr>
      </w:pPr>
    </w:p>
    <w:tbl>
      <w:tblPr>
        <w:tblW w:w="0" w:type="auto"/>
        <w:tblInd w:w="392" w:type="dxa"/>
        <w:tblCellMar>
          <w:left w:w="0" w:type="dxa"/>
          <w:right w:w="0" w:type="dxa"/>
        </w:tblCellMar>
        <w:tblLook w:val="0000" w:firstRow="0" w:lastRow="0" w:firstColumn="0" w:lastColumn="0" w:noHBand="0" w:noVBand="0"/>
      </w:tblPr>
      <w:tblGrid>
        <w:gridCol w:w="979"/>
        <w:gridCol w:w="4876"/>
        <w:gridCol w:w="2803"/>
      </w:tblGrid>
      <w:tr w:rsidR="00591366" w:rsidRPr="00595226" w14:paraId="72816F24" w14:textId="77777777" w:rsidTr="1ACA7E63">
        <w:tc>
          <w:tcPr>
            <w:tcW w:w="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DAA924" w14:textId="77777777" w:rsidR="00591366" w:rsidRPr="00595226" w:rsidRDefault="00591366" w:rsidP="00AB2C57">
            <w:pPr>
              <w:jc w:val="center"/>
              <w:rPr>
                <w:rFonts w:ascii="Calibri" w:hAnsi="Calibri" w:cs="Arial"/>
                <w:b/>
                <w:sz w:val="24"/>
                <w:szCs w:val="24"/>
                <w:lang w:val="es-ES_tradnl"/>
              </w:rPr>
            </w:pPr>
            <w:r w:rsidRPr="00595226">
              <w:rPr>
                <w:rFonts w:ascii="Calibri" w:hAnsi="Calibri" w:cs="Arial"/>
                <w:b/>
                <w:sz w:val="24"/>
                <w:szCs w:val="24"/>
                <w:lang w:val="es-ES_tradnl"/>
              </w:rPr>
              <w:t>CAP.</w:t>
            </w:r>
          </w:p>
        </w:tc>
        <w:tc>
          <w:tcPr>
            <w:tcW w:w="48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979501" w14:textId="77777777" w:rsidR="00591366" w:rsidRPr="00595226" w:rsidRDefault="00591366" w:rsidP="00AB2C57">
            <w:pPr>
              <w:jc w:val="center"/>
              <w:rPr>
                <w:rFonts w:ascii="Calibri" w:hAnsi="Calibri" w:cs="Arial"/>
                <w:b/>
                <w:sz w:val="24"/>
                <w:szCs w:val="24"/>
                <w:lang w:val="es-ES_tradnl"/>
              </w:rPr>
            </w:pPr>
            <w:r w:rsidRPr="00595226">
              <w:rPr>
                <w:rFonts w:ascii="Calibri" w:hAnsi="Calibri" w:cs="Arial"/>
                <w:b/>
                <w:sz w:val="24"/>
                <w:szCs w:val="24"/>
                <w:lang w:val="es-ES_tradnl"/>
              </w:rPr>
              <w:t>DESCRIPCIÓN</w:t>
            </w:r>
          </w:p>
        </w:tc>
        <w:tc>
          <w:tcPr>
            <w:tcW w:w="28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3C39C8" w14:textId="77777777" w:rsidR="00591366" w:rsidRPr="00595226" w:rsidRDefault="00591366" w:rsidP="00AB2C57">
            <w:pPr>
              <w:ind w:firstLine="708"/>
              <w:rPr>
                <w:rFonts w:ascii="Calibri" w:hAnsi="Calibri" w:cs="Arial"/>
                <w:b/>
                <w:sz w:val="24"/>
                <w:szCs w:val="24"/>
                <w:lang w:val="es-ES_tradnl"/>
              </w:rPr>
            </w:pPr>
            <w:r w:rsidRPr="00595226">
              <w:rPr>
                <w:rFonts w:ascii="Calibri" w:hAnsi="Calibri" w:cs="Arial"/>
                <w:b/>
                <w:sz w:val="24"/>
                <w:szCs w:val="24"/>
                <w:lang w:val="es-ES_tradnl"/>
              </w:rPr>
              <w:t>IMPORTE</w:t>
            </w:r>
          </w:p>
        </w:tc>
      </w:tr>
      <w:tr w:rsidR="007D36BC" w:rsidRPr="00595226" w14:paraId="550D0559" w14:textId="77777777" w:rsidTr="0089373A">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1AED6" w14:textId="77777777" w:rsidR="007D36BC" w:rsidRPr="00595226" w:rsidRDefault="007D36BC" w:rsidP="007D36BC">
            <w:pPr>
              <w:jc w:val="center"/>
              <w:rPr>
                <w:rFonts w:ascii="Calibri" w:hAnsi="Calibri" w:cs="Arial"/>
                <w:sz w:val="24"/>
                <w:szCs w:val="24"/>
                <w:lang w:val="es-ES_tradnl"/>
              </w:rPr>
            </w:pPr>
            <w:r w:rsidRPr="00595226">
              <w:rPr>
                <w:rFonts w:ascii="Calibri" w:hAnsi="Calibri" w:cs="Arial"/>
                <w:sz w:val="24"/>
                <w:szCs w:val="24"/>
                <w:lang w:val="es-ES_tradnl"/>
              </w:rPr>
              <w:t>I</w:t>
            </w:r>
          </w:p>
        </w:tc>
        <w:tc>
          <w:tcPr>
            <w:tcW w:w="4876" w:type="dxa"/>
            <w:tcBorders>
              <w:top w:val="nil"/>
              <w:left w:val="nil"/>
              <w:bottom w:val="single" w:sz="8" w:space="0" w:color="auto"/>
              <w:right w:val="single" w:sz="8" w:space="0" w:color="auto"/>
            </w:tcBorders>
            <w:tcMar>
              <w:top w:w="0" w:type="dxa"/>
              <w:left w:w="108" w:type="dxa"/>
              <w:bottom w:w="0" w:type="dxa"/>
              <w:right w:w="108" w:type="dxa"/>
            </w:tcMar>
          </w:tcPr>
          <w:p w14:paraId="71ED4432" w14:textId="77777777" w:rsidR="007D36BC" w:rsidRPr="00595226" w:rsidRDefault="007D36BC" w:rsidP="007D36BC">
            <w:pPr>
              <w:jc w:val="both"/>
              <w:rPr>
                <w:rFonts w:ascii="Calibri" w:hAnsi="Calibri" w:cs="Arial"/>
                <w:sz w:val="24"/>
                <w:szCs w:val="24"/>
                <w:lang w:val="es-ES_tradnl"/>
              </w:rPr>
            </w:pPr>
            <w:r w:rsidRPr="00595226">
              <w:rPr>
                <w:rFonts w:ascii="Calibri" w:hAnsi="Calibri" w:cs="Arial"/>
                <w:sz w:val="24"/>
                <w:szCs w:val="24"/>
                <w:lang w:val="es-ES_tradnl"/>
              </w:rPr>
              <w:t>Impuestos Directos</w:t>
            </w:r>
          </w:p>
        </w:tc>
        <w:tc>
          <w:tcPr>
            <w:tcW w:w="2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5E50F67" w14:textId="6D8F2243" w:rsidR="007D36BC" w:rsidRPr="007D36BC" w:rsidRDefault="007D36BC" w:rsidP="007D36BC">
            <w:pPr>
              <w:jc w:val="right"/>
              <w:rPr>
                <w:rFonts w:asciiTheme="minorHAnsi" w:hAnsiTheme="minorHAnsi" w:cstheme="minorHAnsi"/>
                <w:sz w:val="24"/>
                <w:szCs w:val="24"/>
              </w:rPr>
            </w:pPr>
            <w:r w:rsidRPr="007D36BC">
              <w:rPr>
                <w:rFonts w:ascii="Calibri" w:hAnsi="Calibri" w:cs="Calibri"/>
                <w:sz w:val="24"/>
                <w:szCs w:val="24"/>
              </w:rPr>
              <w:t>19.786.278,79</w:t>
            </w:r>
          </w:p>
        </w:tc>
      </w:tr>
      <w:tr w:rsidR="007D36BC" w:rsidRPr="00595226" w14:paraId="4523071A" w14:textId="77777777" w:rsidTr="0089373A">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930930" w14:textId="77777777" w:rsidR="007D36BC" w:rsidRPr="00595226" w:rsidRDefault="007D36BC" w:rsidP="007D36BC">
            <w:pPr>
              <w:jc w:val="center"/>
              <w:rPr>
                <w:rFonts w:ascii="Calibri" w:hAnsi="Calibri" w:cs="Arial"/>
                <w:sz w:val="24"/>
                <w:szCs w:val="24"/>
                <w:lang w:val="es-ES_tradnl"/>
              </w:rPr>
            </w:pPr>
            <w:r w:rsidRPr="00595226">
              <w:rPr>
                <w:rFonts w:ascii="Calibri" w:hAnsi="Calibri" w:cs="Arial"/>
                <w:sz w:val="24"/>
                <w:szCs w:val="24"/>
                <w:lang w:val="es-ES_tradnl"/>
              </w:rPr>
              <w:t>II</w:t>
            </w:r>
          </w:p>
        </w:tc>
        <w:tc>
          <w:tcPr>
            <w:tcW w:w="4876" w:type="dxa"/>
            <w:tcBorders>
              <w:top w:val="nil"/>
              <w:left w:val="nil"/>
              <w:bottom w:val="single" w:sz="8" w:space="0" w:color="auto"/>
              <w:right w:val="single" w:sz="8" w:space="0" w:color="auto"/>
            </w:tcBorders>
            <w:tcMar>
              <w:top w:w="0" w:type="dxa"/>
              <w:left w:w="108" w:type="dxa"/>
              <w:bottom w:w="0" w:type="dxa"/>
              <w:right w:w="108" w:type="dxa"/>
            </w:tcMar>
          </w:tcPr>
          <w:p w14:paraId="76D458D1" w14:textId="77777777" w:rsidR="007D36BC" w:rsidRPr="00595226" w:rsidRDefault="007D36BC" w:rsidP="007D36BC">
            <w:pPr>
              <w:jc w:val="both"/>
              <w:rPr>
                <w:rFonts w:ascii="Calibri" w:hAnsi="Calibri" w:cs="Arial"/>
                <w:sz w:val="24"/>
                <w:szCs w:val="24"/>
                <w:lang w:val="es-ES_tradnl"/>
              </w:rPr>
            </w:pPr>
            <w:r w:rsidRPr="00595226">
              <w:rPr>
                <w:rFonts w:ascii="Calibri" w:hAnsi="Calibri" w:cs="Arial"/>
                <w:sz w:val="24"/>
                <w:szCs w:val="24"/>
                <w:lang w:val="es-ES_tradnl"/>
              </w:rPr>
              <w:t>Impuestos Indirectos</w:t>
            </w:r>
          </w:p>
        </w:tc>
        <w:tc>
          <w:tcPr>
            <w:tcW w:w="2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9703F15" w14:textId="6CE280F7" w:rsidR="007D36BC" w:rsidRPr="007D36BC" w:rsidRDefault="007D36BC" w:rsidP="007D36BC">
            <w:pPr>
              <w:jc w:val="right"/>
              <w:rPr>
                <w:rFonts w:asciiTheme="minorHAnsi" w:hAnsiTheme="minorHAnsi" w:cstheme="minorHAnsi"/>
                <w:sz w:val="24"/>
                <w:szCs w:val="24"/>
              </w:rPr>
            </w:pPr>
            <w:r w:rsidRPr="007D36BC">
              <w:rPr>
                <w:rFonts w:ascii="Calibri" w:hAnsi="Calibri" w:cs="Calibri"/>
                <w:sz w:val="24"/>
                <w:szCs w:val="24"/>
              </w:rPr>
              <w:t>1.576.682,75</w:t>
            </w:r>
          </w:p>
        </w:tc>
      </w:tr>
      <w:tr w:rsidR="007D36BC" w:rsidRPr="00595226" w14:paraId="2EF31AEF" w14:textId="77777777" w:rsidTr="0089373A">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D445DC" w14:textId="77777777" w:rsidR="007D36BC" w:rsidRPr="00595226" w:rsidRDefault="007D36BC" w:rsidP="007D36BC">
            <w:pPr>
              <w:jc w:val="center"/>
              <w:rPr>
                <w:rFonts w:ascii="Calibri" w:hAnsi="Calibri" w:cs="Arial"/>
                <w:sz w:val="24"/>
                <w:szCs w:val="24"/>
                <w:lang w:val="es-ES_tradnl"/>
              </w:rPr>
            </w:pPr>
            <w:r w:rsidRPr="00595226">
              <w:rPr>
                <w:rFonts w:ascii="Calibri" w:hAnsi="Calibri" w:cs="Arial"/>
                <w:sz w:val="24"/>
                <w:szCs w:val="24"/>
                <w:lang w:val="es-ES_tradnl"/>
              </w:rPr>
              <w:t>III</w:t>
            </w:r>
          </w:p>
        </w:tc>
        <w:tc>
          <w:tcPr>
            <w:tcW w:w="4876" w:type="dxa"/>
            <w:tcBorders>
              <w:top w:val="nil"/>
              <w:left w:val="nil"/>
              <w:bottom w:val="single" w:sz="8" w:space="0" w:color="auto"/>
              <w:right w:val="single" w:sz="8" w:space="0" w:color="auto"/>
            </w:tcBorders>
            <w:tcMar>
              <w:top w:w="0" w:type="dxa"/>
              <w:left w:w="108" w:type="dxa"/>
              <w:bottom w:w="0" w:type="dxa"/>
              <w:right w:w="108" w:type="dxa"/>
            </w:tcMar>
          </w:tcPr>
          <w:p w14:paraId="49890BD2" w14:textId="77777777" w:rsidR="007D36BC" w:rsidRPr="00595226" w:rsidRDefault="007D36BC" w:rsidP="007D36BC">
            <w:pPr>
              <w:jc w:val="both"/>
              <w:rPr>
                <w:rFonts w:ascii="Calibri" w:hAnsi="Calibri" w:cs="Arial"/>
                <w:sz w:val="24"/>
                <w:szCs w:val="24"/>
                <w:lang w:val="es-ES_tradnl"/>
              </w:rPr>
            </w:pPr>
            <w:r w:rsidRPr="00595226">
              <w:rPr>
                <w:rFonts w:ascii="Calibri" w:hAnsi="Calibri" w:cs="Arial"/>
                <w:sz w:val="24"/>
                <w:szCs w:val="24"/>
                <w:lang w:val="es-ES_tradnl"/>
              </w:rPr>
              <w:t>Tasas y otros ingresos</w:t>
            </w:r>
          </w:p>
        </w:tc>
        <w:tc>
          <w:tcPr>
            <w:tcW w:w="2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6F2EB5A" w14:textId="1DBCE9D0" w:rsidR="007D36BC" w:rsidRPr="007D36BC" w:rsidRDefault="007D36BC" w:rsidP="007D36BC">
            <w:pPr>
              <w:jc w:val="right"/>
              <w:rPr>
                <w:rFonts w:asciiTheme="minorHAnsi" w:hAnsiTheme="minorHAnsi" w:cstheme="minorHAnsi"/>
                <w:sz w:val="24"/>
                <w:szCs w:val="24"/>
              </w:rPr>
            </w:pPr>
            <w:r w:rsidRPr="007D36BC">
              <w:rPr>
                <w:rFonts w:ascii="Calibri" w:hAnsi="Calibri" w:cs="Calibri"/>
                <w:sz w:val="24"/>
                <w:szCs w:val="24"/>
              </w:rPr>
              <w:t>8.641.729,99</w:t>
            </w:r>
          </w:p>
        </w:tc>
      </w:tr>
      <w:tr w:rsidR="007D36BC" w:rsidRPr="00595226" w14:paraId="069034EB" w14:textId="77777777" w:rsidTr="0089373A">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5D1A6A" w14:textId="77777777" w:rsidR="007D36BC" w:rsidRPr="00595226" w:rsidRDefault="007D36BC" w:rsidP="007D36BC">
            <w:pPr>
              <w:jc w:val="center"/>
              <w:rPr>
                <w:rFonts w:ascii="Calibri" w:hAnsi="Calibri" w:cs="Arial"/>
                <w:sz w:val="24"/>
                <w:szCs w:val="24"/>
                <w:lang w:val="es-ES_tradnl"/>
              </w:rPr>
            </w:pPr>
            <w:r w:rsidRPr="00595226">
              <w:rPr>
                <w:rFonts w:ascii="Calibri" w:hAnsi="Calibri" w:cs="Arial"/>
                <w:sz w:val="24"/>
                <w:szCs w:val="24"/>
                <w:lang w:val="es-ES_tradnl"/>
              </w:rPr>
              <w:t>IV</w:t>
            </w:r>
          </w:p>
        </w:tc>
        <w:tc>
          <w:tcPr>
            <w:tcW w:w="4876" w:type="dxa"/>
            <w:tcBorders>
              <w:top w:val="nil"/>
              <w:left w:val="nil"/>
              <w:bottom w:val="single" w:sz="8" w:space="0" w:color="auto"/>
              <w:right w:val="single" w:sz="8" w:space="0" w:color="auto"/>
            </w:tcBorders>
            <w:tcMar>
              <w:top w:w="0" w:type="dxa"/>
              <w:left w:w="108" w:type="dxa"/>
              <w:bottom w:w="0" w:type="dxa"/>
              <w:right w:w="108" w:type="dxa"/>
            </w:tcMar>
          </w:tcPr>
          <w:p w14:paraId="71CB3B4F" w14:textId="77777777" w:rsidR="007D36BC" w:rsidRPr="00595226" w:rsidRDefault="007D36BC" w:rsidP="007D36BC">
            <w:pPr>
              <w:jc w:val="both"/>
              <w:rPr>
                <w:rFonts w:ascii="Calibri" w:hAnsi="Calibri" w:cs="Arial"/>
                <w:sz w:val="24"/>
                <w:szCs w:val="24"/>
                <w:lang w:val="es-ES_tradnl"/>
              </w:rPr>
            </w:pPr>
            <w:r w:rsidRPr="00595226">
              <w:rPr>
                <w:rFonts w:ascii="Calibri" w:hAnsi="Calibri" w:cs="Arial"/>
                <w:sz w:val="24"/>
                <w:szCs w:val="24"/>
                <w:lang w:val="es-ES_tradnl"/>
              </w:rPr>
              <w:t>Transferencias corrientes</w:t>
            </w:r>
          </w:p>
        </w:tc>
        <w:tc>
          <w:tcPr>
            <w:tcW w:w="2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07E142E" w14:textId="29EB31B5" w:rsidR="007D36BC" w:rsidRPr="007D36BC" w:rsidRDefault="007D36BC" w:rsidP="007D36BC">
            <w:pPr>
              <w:jc w:val="right"/>
              <w:rPr>
                <w:rFonts w:asciiTheme="minorHAnsi" w:hAnsiTheme="minorHAnsi" w:cstheme="minorHAnsi"/>
                <w:sz w:val="24"/>
                <w:szCs w:val="24"/>
              </w:rPr>
            </w:pPr>
            <w:r w:rsidRPr="007D36BC">
              <w:rPr>
                <w:rFonts w:ascii="Calibri" w:hAnsi="Calibri" w:cs="Calibri"/>
                <w:sz w:val="24"/>
                <w:szCs w:val="24"/>
              </w:rPr>
              <w:t>15.119.224,94</w:t>
            </w:r>
          </w:p>
        </w:tc>
      </w:tr>
      <w:tr w:rsidR="007D36BC" w:rsidRPr="00595226" w14:paraId="12369108" w14:textId="77777777" w:rsidTr="0089373A">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4ABE49" w14:textId="77777777" w:rsidR="007D36BC" w:rsidRPr="00595226" w:rsidRDefault="007D36BC" w:rsidP="007D36BC">
            <w:pPr>
              <w:jc w:val="center"/>
              <w:rPr>
                <w:rFonts w:ascii="Calibri" w:hAnsi="Calibri" w:cs="Arial"/>
                <w:b/>
                <w:sz w:val="24"/>
                <w:szCs w:val="24"/>
                <w:lang w:val="es-ES_tradnl"/>
              </w:rPr>
            </w:pPr>
            <w:r w:rsidRPr="00595226">
              <w:rPr>
                <w:rFonts w:ascii="Calibri" w:hAnsi="Calibri" w:cs="Arial"/>
                <w:sz w:val="24"/>
                <w:szCs w:val="24"/>
                <w:lang w:val="es-ES_tradnl"/>
              </w:rPr>
              <w:t>V</w:t>
            </w:r>
          </w:p>
        </w:tc>
        <w:tc>
          <w:tcPr>
            <w:tcW w:w="4876" w:type="dxa"/>
            <w:tcBorders>
              <w:top w:val="nil"/>
              <w:left w:val="nil"/>
              <w:bottom w:val="single" w:sz="8" w:space="0" w:color="auto"/>
              <w:right w:val="single" w:sz="8" w:space="0" w:color="auto"/>
            </w:tcBorders>
            <w:tcMar>
              <w:top w:w="0" w:type="dxa"/>
              <w:left w:w="108" w:type="dxa"/>
              <w:bottom w:w="0" w:type="dxa"/>
              <w:right w:w="108" w:type="dxa"/>
            </w:tcMar>
          </w:tcPr>
          <w:p w14:paraId="7F72E915" w14:textId="77777777" w:rsidR="007D36BC" w:rsidRPr="00595226" w:rsidRDefault="007D36BC" w:rsidP="007D36BC">
            <w:pPr>
              <w:jc w:val="both"/>
              <w:rPr>
                <w:rFonts w:ascii="Calibri" w:hAnsi="Calibri" w:cs="Arial"/>
                <w:sz w:val="24"/>
                <w:szCs w:val="24"/>
                <w:lang w:val="es-ES_tradnl"/>
              </w:rPr>
            </w:pPr>
            <w:r w:rsidRPr="00595226">
              <w:rPr>
                <w:rFonts w:ascii="Calibri" w:hAnsi="Calibri" w:cs="Arial"/>
                <w:sz w:val="24"/>
                <w:szCs w:val="24"/>
                <w:lang w:val="es-ES_tradnl"/>
              </w:rPr>
              <w:t>Ingresos patrimoniales</w:t>
            </w:r>
          </w:p>
        </w:tc>
        <w:tc>
          <w:tcPr>
            <w:tcW w:w="2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98D8FA4" w14:textId="7E738091" w:rsidR="007D36BC" w:rsidRPr="007D36BC" w:rsidRDefault="007D36BC" w:rsidP="007D36BC">
            <w:pPr>
              <w:jc w:val="right"/>
              <w:rPr>
                <w:rFonts w:asciiTheme="minorHAnsi" w:hAnsiTheme="minorHAnsi" w:cstheme="minorHAnsi"/>
                <w:sz w:val="24"/>
                <w:szCs w:val="24"/>
              </w:rPr>
            </w:pPr>
            <w:r w:rsidRPr="007D36BC">
              <w:rPr>
                <w:rFonts w:ascii="Calibri" w:hAnsi="Calibri" w:cs="Calibri"/>
                <w:sz w:val="24"/>
                <w:szCs w:val="24"/>
              </w:rPr>
              <w:t>977.076,07</w:t>
            </w:r>
          </w:p>
        </w:tc>
      </w:tr>
      <w:tr w:rsidR="007D36BC" w:rsidRPr="00595226" w14:paraId="232C2468" w14:textId="77777777" w:rsidTr="0089373A">
        <w:trPr>
          <w:trHeight w:val="246"/>
        </w:trPr>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69062" w14:textId="5338273F" w:rsidR="007D36BC" w:rsidRPr="00595226" w:rsidRDefault="007D36BC" w:rsidP="007D36BC">
            <w:pPr>
              <w:jc w:val="both"/>
              <w:rPr>
                <w:rFonts w:ascii="Calibri" w:hAnsi="Calibri" w:cs="Arial"/>
                <w:sz w:val="24"/>
                <w:szCs w:val="24"/>
              </w:rPr>
            </w:pPr>
          </w:p>
        </w:tc>
        <w:tc>
          <w:tcPr>
            <w:tcW w:w="4876" w:type="dxa"/>
            <w:tcBorders>
              <w:top w:val="nil"/>
              <w:left w:val="nil"/>
              <w:bottom w:val="single" w:sz="8" w:space="0" w:color="auto"/>
              <w:right w:val="single" w:sz="8" w:space="0" w:color="auto"/>
            </w:tcBorders>
            <w:tcMar>
              <w:top w:w="0" w:type="dxa"/>
              <w:left w:w="108" w:type="dxa"/>
              <w:bottom w:w="0" w:type="dxa"/>
              <w:right w:w="108" w:type="dxa"/>
            </w:tcMar>
          </w:tcPr>
          <w:p w14:paraId="43BDED72" w14:textId="77777777" w:rsidR="007D36BC" w:rsidRPr="00595226" w:rsidRDefault="007D36BC" w:rsidP="007D36BC">
            <w:pPr>
              <w:jc w:val="both"/>
              <w:rPr>
                <w:rFonts w:ascii="Calibri" w:hAnsi="Calibri" w:cs="Arial"/>
                <w:b/>
                <w:bCs/>
                <w:sz w:val="24"/>
                <w:szCs w:val="24"/>
              </w:rPr>
            </w:pPr>
            <w:proofErr w:type="gramStart"/>
            <w:r w:rsidRPr="1ACA7E63">
              <w:rPr>
                <w:rFonts w:ascii="Calibri" w:hAnsi="Calibri" w:cs="Arial"/>
                <w:b/>
                <w:bCs/>
                <w:sz w:val="24"/>
                <w:szCs w:val="24"/>
              </w:rPr>
              <w:t>TOTAL</w:t>
            </w:r>
            <w:proofErr w:type="gramEnd"/>
            <w:r w:rsidRPr="1ACA7E63">
              <w:rPr>
                <w:rFonts w:ascii="Calibri" w:hAnsi="Calibri" w:cs="Arial"/>
                <w:b/>
                <w:bCs/>
                <w:sz w:val="24"/>
                <w:szCs w:val="24"/>
              </w:rPr>
              <w:t xml:space="preserve"> INGRESOS CORRIENTES</w:t>
            </w:r>
          </w:p>
        </w:tc>
        <w:tc>
          <w:tcPr>
            <w:tcW w:w="2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DFCB9B7" w14:textId="2C022236" w:rsidR="007D36BC" w:rsidRPr="007D36BC" w:rsidRDefault="007D36BC" w:rsidP="007D36BC">
            <w:pPr>
              <w:jc w:val="right"/>
              <w:rPr>
                <w:rFonts w:ascii="Calibri" w:eastAsia="Calibri" w:hAnsi="Calibri" w:cs="Calibri"/>
                <w:b/>
                <w:bCs/>
                <w:sz w:val="24"/>
                <w:szCs w:val="24"/>
              </w:rPr>
            </w:pPr>
            <w:r w:rsidRPr="007D36BC">
              <w:rPr>
                <w:rFonts w:ascii="Calibri" w:hAnsi="Calibri" w:cs="Calibri"/>
                <w:b/>
                <w:bCs/>
                <w:sz w:val="24"/>
                <w:szCs w:val="24"/>
              </w:rPr>
              <w:t>46.100.992,54</w:t>
            </w:r>
          </w:p>
        </w:tc>
      </w:tr>
    </w:tbl>
    <w:p w14:paraId="6F7D68F1" w14:textId="77777777" w:rsidR="00591366" w:rsidRDefault="00591366" w:rsidP="00591366">
      <w:pPr>
        <w:jc w:val="both"/>
        <w:rPr>
          <w:rFonts w:ascii="Calibri" w:hAnsi="Calibri" w:cs="Arial"/>
          <w:b/>
          <w:sz w:val="24"/>
          <w:szCs w:val="24"/>
          <w:lang w:val="es-ES_tradnl"/>
        </w:rPr>
      </w:pPr>
    </w:p>
    <w:p w14:paraId="392FEA79" w14:textId="77777777" w:rsidR="003F4773" w:rsidRPr="00595226" w:rsidRDefault="003F4773" w:rsidP="00591366">
      <w:pPr>
        <w:jc w:val="both"/>
        <w:rPr>
          <w:rFonts w:ascii="Calibri" w:hAnsi="Calibri" w:cs="Arial"/>
          <w:b/>
          <w:sz w:val="24"/>
          <w:szCs w:val="24"/>
          <w:lang w:val="es-ES_tradnl"/>
        </w:rPr>
      </w:pPr>
    </w:p>
    <w:p w14:paraId="7E4306C9" w14:textId="77777777" w:rsidR="00591366" w:rsidRDefault="00591366" w:rsidP="00591366">
      <w:pPr>
        <w:ind w:left="360" w:firstLine="348"/>
        <w:jc w:val="both"/>
        <w:rPr>
          <w:rFonts w:ascii="Calibri" w:hAnsi="Calibri" w:cs="Arial"/>
          <w:b/>
          <w:sz w:val="24"/>
          <w:szCs w:val="24"/>
          <w:lang w:val="es-ES_tradnl"/>
        </w:rPr>
      </w:pPr>
      <w:r>
        <w:rPr>
          <w:rFonts w:ascii="Calibri" w:hAnsi="Calibri" w:cs="Arial"/>
          <w:b/>
          <w:sz w:val="24"/>
          <w:szCs w:val="24"/>
          <w:lang w:val="es-ES_tradnl"/>
        </w:rPr>
        <w:t>f</w:t>
      </w:r>
      <w:r w:rsidRPr="00595226">
        <w:rPr>
          <w:rFonts w:ascii="Calibri" w:hAnsi="Calibri" w:cs="Arial"/>
          <w:b/>
          <w:sz w:val="24"/>
          <w:szCs w:val="24"/>
          <w:lang w:val="es-ES_tradnl"/>
        </w:rPr>
        <w:t>). A</w:t>
      </w:r>
      <w:r>
        <w:rPr>
          <w:rFonts w:ascii="Calibri" w:hAnsi="Calibri" w:cs="Arial"/>
          <w:b/>
          <w:sz w:val="24"/>
          <w:szCs w:val="24"/>
          <w:lang w:val="es-ES_tradnl"/>
        </w:rPr>
        <w:t>horro Neto</w:t>
      </w:r>
      <w:r w:rsidRPr="00595226">
        <w:rPr>
          <w:rFonts w:ascii="Calibri" w:hAnsi="Calibri" w:cs="Arial"/>
          <w:b/>
          <w:sz w:val="24"/>
          <w:szCs w:val="24"/>
          <w:lang w:val="es-ES_tradnl"/>
        </w:rPr>
        <w:t>.</w:t>
      </w:r>
    </w:p>
    <w:p w14:paraId="6C683D42" w14:textId="77777777" w:rsidR="001B0BE8" w:rsidRDefault="001B0BE8" w:rsidP="00591366">
      <w:pPr>
        <w:ind w:left="360" w:firstLine="348"/>
        <w:jc w:val="both"/>
        <w:rPr>
          <w:rFonts w:ascii="Calibri" w:hAnsi="Calibri" w:cs="Arial"/>
          <w:b/>
          <w:sz w:val="24"/>
          <w:szCs w:val="24"/>
          <w:lang w:val="es-ES_tradnl"/>
        </w:rPr>
      </w:pPr>
    </w:p>
    <w:p w14:paraId="76031112" w14:textId="77777777" w:rsidR="00591366" w:rsidRPr="005113A9" w:rsidRDefault="001B0BE8" w:rsidP="00591366">
      <w:pPr>
        <w:pStyle w:val="Textoindependiente"/>
        <w:rPr>
          <w:rFonts w:ascii="Calibri" w:hAnsi="Calibri" w:cs="Arial"/>
          <w:sz w:val="24"/>
          <w:szCs w:val="24"/>
        </w:rPr>
      </w:pPr>
      <w:r>
        <w:rPr>
          <w:rFonts w:ascii="Calibri" w:hAnsi="Calibri" w:cs="Arial"/>
          <w:i w:val="0"/>
          <w:iCs w:val="0"/>
          <w:sz w:val="24"/>
          <w:szCs w:val="24"/>
        </w:rPr>
        <w:tab/>
      </w:r>
      <w:r w:rsidR="00591366" w:rsidRPr="005113A9">
        <w:rPr>
          <w:rFonts w:ascii="Calibri" w:hAnsi="Calibri" w:cs="Arial"/>
          <w:i w:val="0"/>
          <w:iCs w:val="0"/>
          <w:sz w:val="24"/>
          <w:szCs w:val="24"/>
        </w:rPr>
        <w:t xml:space="preserve">El Ahorro Neto, calculado conforme a lo establecido en el </w:t>
      </w:r>
      <w:proofErr w:type="spellStart"/>
      <w:r w:rsidR="00591366" w:rsidRPr="005113A9">
        <w:rPr>
          <w:rFonts w:ascii="Calibri" w:hAnsi="Calibri" w:cs="Arial"/>
          <w:i w:val="0"/>
          <w:iCs w:val="0"/>
          <w:sz w:val="24"/>
          <w:szCs w:val="24"/>
        </w:rPr>
        <w:t>artº</w:t>
      </w:r>
      <w:proofErr w:type="spellEnd"/>
      <w:r w:rsidR="00591366" w:rsidRPr="005113A9">
        <w:rPr>
          <w:rFonts w:ascii="Calibri" w:hAnsi="Calibri" w:cs="Arial"/>
          <w:i w:val="0"/>
          <w:iCs w:val="0"/>
          <w:sz w:val="24"/>
          <w:szCs w:val="24"/>
        </w:rPr>
        <w:t>. 53 TRLHL es el siguiente:</w:t>
      </w:r>
    </w:p>
    <w:p w14:paraId="6EB2E8BB" w14:textId="77777777" w:rsidR="00591366" w:rsidRPr="00595226" w:rsidRDefault="00591366" w:rsidP="00591366">
      <w:pPr>
        <w:ind w:left="360" w:firstLine="348"/>
        <w:jc w:val="both"/>
        <w:rPr>
          <w:rFonts w:ascii="Calibri" w:hAnsi="Calibri" w:cs="Arial"/>
          <w:b/>
          <w:bCs/>
          <w:sz w:val="24"/>
          <w:szCs w:val="24"/>
        </w:rPr>
      </w:pPr>
    </w:p>
    <w:tbl>
      <w:tblPr>
        <w:tblW w:w="6898" w:type="dxa"/>
        <w:tblInd w:w="1063" w:type="dxa"/>
        <w:tblCellMar>
          <w:left w:w="70" w:type="dxa"/>
          <w:right w:w="70" w:type="dxa"/>
        </w:tblCellMar>
        <w:tblLook w:val="0000" w:firstRow="0" w:lastRow="0" w:firstColumn="0" w:lastColumn="0" w:noHBand="0" w:noVBand="0"/>
      </w:tblPr>
      <w:tblGrid>
        <w:gridCol w:w="4284"/>
        <w:gridCol w:w="2614"/>
      </w:tblGrid>
      <w:tr w:rsidR="00591366" w:rsidRPr="008214F0" w14:paraId="0A20EC68" w14:textId="77777777" w:rsidTr="27A27705">
        <w:trPr>
          <w:trHeight w:val="325"/>
        </w:trPr>
        <w:tc>
          <w:tcPr>
            <w:tcW w:w="4284" w:type="dxa"/>
            <w:tcBorders>
              <w:top w:val="single" w:sz="8" w:space="0" w:color="auto"/>
              <w:left w:val="single" w:sz="8" w:space="0" w:color="auto"/>
              <w:bottom w:val="single" w:sz="8" w:space="0" w:color="auto"/>
              <w:right w:val="single" w:sz="8" w:space="0" w:color="auto"/>
            </w:tcBorders>
            <w:vAlign w:val="bottom"/>
          </w:tcPr>
          <w:p w14:paraId="60973E40" w14:textId="77777777" w:rsidR="00591366" w:rsidRPr="008214F0" w:rsidRDefault="00591366" w:rsidP="00AB2C57">
            <w:pPr>
              <w:rPr>
                <w:rFonts w:ascii="Calibri" w:hAnsi="Calibri" w:cs="Arial"/>
                <w:b/>
                <w:bCs/>
                <w:sz w:val="22"/>
                <w:szCs w:val="22"/>
              </w:rPr>
            </w:pPr>
            <w:r w:rsidRPr="008214F0">
              <w:rPr>
                <w:rFonts w:ascii="Calibri" w:hAnsi="Calibri" w:cs="Arial"/>
                <w:b/>
                <w:bCs/>
                <w:sz w:val="22"/>
                <w:szCs w:val="22"/>
                <w:lang w:val="es-ES_tradnl"/>
              </w:rPr>
              <w:t>DESCRIPCIÓN</w:t>
            </w:r>
          </w:p>
        </w:tc>
        <w:tc>
          <w:tcPr>
            <w:tcW w:w="2614" w:type="dxa"/>
            <w:tcBorders>
              <w:top w:val="single" w:sz="8" w:space="0" w:color="auto"/>
              <w:left w:val="nil"/>
              <w:bottom w:val="single" w:sz="8" w:space="0" w:color="auto"/>
              <w:right w:val="single" w:sz="8" w:space="0" w:color="auto"/>
            </w:tcBorders>
            <w:vAlign w:val="bottom"/>
          </w:tcPr>
          <w:p w14:paraId="253C01E1" w14:textId="77777777" w:rsidR="00591366" w:rsidRPr="008214F0" w:rsidRDefault="00591366" w:rsidP="00AB2C57">
            <w:pPr>
              <w:jc w:val="center"/>
              <w:rPr>
                <w:rFonts w:ascii="Calibri" w:hAnsi="Calibri" w:cs="Arial"/>
                <w:b/>
                <w:bCs/>
                <w:sz w:val="22"/>
                <w:szCs w:val="22"/>
              </w:rPr>
            </w:pPr>
            <w:r w:rsidRPr="008214F0">
              <w:rPr>
                <w:rFonts w:ascii="Calibri" w:hAnsi="Calibri" w:cs="Arial"/>
                <w:b/>
                <w:bCs/>
                <w:sz w:val="22"/>
                <w:szCs w:val="22"/>
                <w:lang w:val="es-ES_tradnl"/>
              </w:rPr>
              <w:t>IMPORTE</w:t>
            </w:r>
          </w:p>
        </w:tc>
      </w:tr>
      <w:tr w:rsidR="00DA3197" w:rsidRPr="008214F0" w14:paraId="778C6E9C" w14:textId="77777777" w:rsidTr="00F1283B">
        <w:trPr>
          <w:trHeight w:val="330"/>
        </w:trPr>
        <w:tc>
          <w:tcPr>
            <w:tcW w:w="4284" w:type="dxa"/>
            <w:tcBorders>
              <w:top w:val="nil"/>
              <w:left w:val="single" w:sz="8" w:space="0" w:color="auto"/>
              <w:bottom w:val="single" w:sz="8" w:space="0" w:color="auto"/>
              <w:right w:val="single" w:sz="8" w:space="0" w:color="auto"/>
            </w:tcBorders>
          </w:tcPr>
          <w:p w14:paraId="2C1A1931" w14:textId="77777777" w:rsidR="00DA3197" w:rsidRPr="008214F0" w:rsidRDefault="00DA3197" w:rsidP="00DA3197">
            <w:pPr>
              <w:jc w:val="both"/>
              <w:rPr>
                <w:rFonts w:ascii="Calibri" w:hAnsi="Calibri" w:cs="Arial"/>
                <w:sz w:val="22"/>
                <w:szCs w:val="22"/>
              </w:rPr>
            </w:pPr>
            <w:r w:rsidRPr="008214F0">
              <w:rPr>
                <w:rFonts w:ascii="Calibri" w:hAnsi="Calibri" w:cs="Arial"/>
                <w:sz w:val="22"/>
                <w:szCs w:val="22"/>
                <w:lang w:val="es-ES_tradnl"/>
              </w:rPr>
              <w:t>Ingresos corrientes liquidados</w:t>
            </w:r>
          </w:p>
        </w:tc>
        <w:tc>
          <w:tcPr>
            <w:tcW w:w="2614" w:type="dxa"/>
            <w:tcBorders>
              <w:top w:val="nil"/>
              <w:left w:val="nil"/>
              <w:bottom w:val="single" w:sz="8" w:space="0" w:color="auto"/>
              <w:right w:val="single" w:sz="8" w:space="0" w:color="auto"/>
            </w:tcBorders>
            <w:vAlign w:val="bottom"/>
          </w:tcPr>
          <w:p w14:paraId="18CE2505" w14:textId="51DCA31E" w:rsidR="00DA3197" w:rsidRPr="008214F0" w:rsidRDefault="00DA3197" w:rsidP="00DA3197">
            <w:pPr>
              <w:jc w:val="right"/>
              <w:rPr>
                <w:rFonts w:asciiTheme="minorHAnsi" w:hAnsiTheme="minorHAnsi" w:cstheme="minorHAnsi"/>
                <w:sz w:val="22"/>
                <w:szCs w:val="22"/>
              </w:rPr>
            </w:pPr>
            <w:r>
              <w:rPr>
                <w:rFonts w:ascii="Calibri" w:hAnsi="Calibri" w:cs="Calibri"/>
                <w:sz w:val="22"/>
                <w:szCs w:val="22"/>
              </w:rPr>
              <w:t>46.100.992,54</w:t>
            </w:r>
          </w:p>
        </w:tc>
      </w:tr>
      <w:tr w:rsidR="00DA3197" w:rsidRPr="008214F0" w14:paraId="5E94B763" w14:textId="77777777" w:rsidTr="00F1283B">
        <w:trPr>
          <w:trHeight w:val="275"/>
        </w:trPr>
        <w:tc>
          <w:tcPr>
            <w:tcW w:w="4284" w:type="dxa"/>
            <w:tcBorders>
              <w:top w:val="nil"/>
              <w:left w:val="single" w:sz="8" w:space="0" w:color="auto"/>
              <w:bottom w:val="single" w:sz="8" w:space="0" w:color="auto"/>
              <w:right w:val="single" w:sz="8" w:space="0" w:color="auto"/>
            </w:tcBorders>
            <w:vAlign w:val="bottom"/>
          </w:tcPr>
          <w:p w14:paraId="617C3BD3" w14:textId="77777777" w:rsidR="00DA3197" w:rsidRPr="008214F0" w:rsidRDefault="00DA3197" w:rsidP="00DA3197">
            <w:pPr>
              <w:jc w:val="both"/>
              <w:rPr>
                <w:rFonts w:ascii="Calibri" w:hAnsi="Calibri" w:cs="Arial"/>
                <w:sz w:val="22"/>
                <w:szCs w:val="22"/>
              </w:rPr>
            </w:pPr>
            <w:r w:rsidRPr="008214F0">
              <w:rPr>
                <w:rFonts w:ascii="Calibri" w:hAnsi="Calibri" w:cs="Arial"/>
                <w:sz w:val="22"/>
                <w:szCs w:val="22"/>
                <w:lang w:val="es-ES_tradnl"/>
              </w:rPr>
              <w:t>Obligaciones corrientes reconocidas (1)</w:t>
            </w:r>
          </w:p>
        </w:tc>
        <w:tc>
          <w:tcPr>
            <w:tcW w:w="2614" w:type="dxa"/>
            <w:tcBorders>
              <w:top w:val="nil"/>
              <w:left w:val="nil"/>
              <w:bottom w:val="single" w:sz="8" w:space="0" w:color="auto"/>
              <w:right w:val="single" w:sz="8" w:space="0" w:color="auto"/>
            </w:tcBorders>
            <w:vAlign w:val="bottom"/>
          </w:tcPr>
          <w:p w14:paraId="7D51A538" w14:textId="4AF698E2" w:rsidR="00DA3197" w:rsidRPr="008214F0" w:rsidRDefault="00DA3197" w:rsidP="00DA3197">
            <w:pPr>
              <w:jc w:val="right"/>
              <w:rPr>
                <w:rFonts w:asciiTheme="minorHAnsi" w:hAnsiTheme="minorHAnsi" w:cstheme="minorHAnsi"/>
                <w:sz w:val="22"/>
                <w:szCs w:val="22"/>
              </w:rPr>
            </w:pPr>
            <w:r>
              <w:rPr>
                <w:rFonts w:ascii="Calibri" w:hAnsi="Calibri" w:cs="Calibri"/>
                <w:sz w:val="22"/>
                <w:szCs w:val="22"/>
              </w:rPr>
              <w:t>35.586.216,04</w:t>
            </w:r>
          </w:p>
        </w:tc>
      </w:tr>
      <w:tr w:rsidR="00DA3197" w:rsidRPr="008214F0" w14:paraId="39F21001" w14:textId="77777777" w:rsidTr="00F1283B">
        <w:trPr>
          <w:trHeight w:val="325"/>
        </w:trPr>
        <w:tc>
          <w:tcPr>
            <w:tcW w:w="4284" w:type="dxa"/>
            <w:tcBorders>
              <w:top w:val="nil"/>
              <w:left w:val="single" w:sz="8" w:space="0" w:color="auto"/>
              <w:bottom w:val="single" w:sz="8" w:space="0" w:color="auto"/>
              <w:right w:val="single" w:sz="8" w:space="0" w:color="auto"/>
            </w:tcBorders>
            <w:vAlign w:val="bottom"/>
          </w:tcPr>
          <w:p w14:paraId="0A4C3FCA" w14:textId="77777777" w:rsidR="00DA3197" w:rsidRPr="008214F0" w:rsidRDefault="00DA3197" w:rsidP="00DA3197">
            <w:pPr>
              <w:rPr>
                <w:rFonts w:ascii="Calibri" w:hAnsi="Calibri" w:cs="Arial"/>
                <w:b/>
                <w:bCs/>
                <w:sz w:val="22"/>
                <w:szCs w:val="22"/>
              </w:rPr>
            </w:pPr>
            <w:r w:rsidRPr="008214F0">
              <w:rPr>
                <w:rFonts w:ascii="Calibri" w:hAnsi="Calibri" w:cs="Arial"/>
                <w:b/>
                <w:bCs/>
                <w:sz w:val="22"/>
                <w:szCs w:val="22"/>
                <w:lang w:val="es-ES_tradnl"/>
              </w:rPr>
              <w:t>AHORRO BRUTO</w:t>
            </w:r>
          </w:p>
        </w:tc>
        <w:tc>
          <w:tcPr>
            <w:tcW w:w="2614" w:type="dxa"/>
            <w:tcBorders>
              <w:top w:val="nil"/>
              <w:left w:val="nil"/>
              <w:bottom w:val="single" w:sz="8" w:space="0" w:color="auto"/>
              <w:right w:val="single" w:sz="8" w:space="0" w:color="auto"/>
            </w:tcBorders>
            <w:vAlign w:val="bottom"/>
          </w:tcPr>
          <w:p w14:paraId="0B2F0D52" w14:textId="3DC0EFDC" w:rsidR="00DA3197" w:rsidRPr="008214F0" w:rsidRDefault="00DA3197" w:rsidP="00DA3197">
            <w:pPr>
              <w:jc w:val="right"/>
              <w:rPr>
                <w:rFonts w:asciiTheme="minorHAnsi" w:hAnsiTheme="minorHAnsi" w:cstheme="minorHAnsi"/>
                <w:sz w:val="22"/>
                <w:szCs w:val="22"/>
              </w:rPr>
            </w:pPr>
            <w:r>
              <w:rPr>
                <w:rFonts w:ascii="Calibri" w:hAnsi="Calibri" w:cs="Calibri"/>
                <w:b/>
                <w:bCs/>
                <w:sz w:val="22"/>
                <w:szCs w:val="22"/>
              </w:rPr>
              <w:t>10.514.776,50</w:t>
            </w:r>
          </w:p>
        </w:tc>
      </w:tr>
      <w:tr w:rsidR="00DA3197" w:rsidRPr="008214F0" w14:paraId="6B2C0B84" w14:textId="77777777" w:rsidTr="00F1283B">
        <w:trPr>
          <w:trHeight w:val="325"/>
        </w:trPr>
        <w:tc>
          <w:tcPr>
            <w:tcW w:w="4284" w:type="dxa"/>
            <w:tcBorders>
              <w:top w:val="nil"/>
              <w:left w:val="single" w:sz="8" w:space="0" w:color="auto"/>
              <w:bottom w:val="single" w:sz="8" w:space="0" w:color="auto"/>
              <w:right w:val="single" w:sz="8" w:space="0" w:color="auto"/>
            </w:tcBorders>
          </w:tcPr>
          <w:p w14:paraId="165CBA67" w14:textId="149B8BAD" w:rsidR="00DA3197" w:rsidRPr="007B31EA" w:rsidRDefault="00DA3197" w:rsidP="00DA3197">
            <w:pPr>
              <w:jc w:val="both"/>
              <w:rPr>
                <w:rFonts w:ascii="Calibri" w:hAnsi="Calibri" w:cs="Arial"/>
                <w:sz w:val="22"/>
                <w:szCs w:val="22"/>
              </w:rPr>
            </w:pPr>
            <w:r w:rsidRPr="007B31EA">
              <w:rPr>
                <w:rFonts w:ascii="Calibri" w:hAnsi="Calibri" w:cs="Arial"/>
                <w:sz w:val="22"/>
                <w:szCs w:val="22"/>
                <w:lang w:val="es-ES_tradnl"/>
              </w:rPr>
              <w:t>Anualidad teórica de amortización (2)</w:t>
            </w:r>
          </w:p>
        </w:tc>
        <w:tc>
          <w:tcPr>
            <w:tcW w:w="2614" w:type="dxa"/>
            <w:tcBorders>
              <w:top w:val="nil"/>
              <w:left w:val="nil"/>
              <w:bottom w:val="single" w:sz="8" w:space="0" w:color="auto"/>
              <w:right w:val="single" w:sz="8" w:space="0" w:color="auto"/>
            </w:tcBorders>
            <w:vAlign w:val="bottom"/>
          </w:tcPr>
          <w:p w14:paraId="4DE02AE9" w14:textId="043CB01B" w:rsidR="00DA3197" w:rsidRPr="008214F0" w:rsidRDefault="00DA3197" w:rsidP="00DA3197">
            <w:pPr>
              <w:jc w:val="right"/>
              <w:rPr>
                <w:rFonts w:asciiTheme="minorHAnsi" w:hAnsiTheme="minorHAnsi" w:cstheme="minorHAnsi"/>
                <w:sz w:val="22"/>
                <w:szCs w:val="22"/>
              </w:rPr>
            </w:pPr>
            <w:r>
              <w:rPr>
                <w:rFonts w:ascii="Calibri" w:hAnsi="Calibri" w:cs="Calibri"/>
                <w:sz w:val="22"/>
                <w:szCs w:val="22"/>
              </w:rPr>
              <w:t>302.039,28</w:t>
            </w:r>
          </w:p>
        </w:tc>
      </w:tr>
      <w:tr w:rsidR="00DA3197" w:rsidRPr="008214F0" w14:paraId="01D88B07" w14:textId="77777777" w:rsidTr="00F1283B">
        <w:trPr>
          <w:trHeight w:val="325"/>
        </w:trPr>
        <w:tc>
          <w:tcPr>
            <w:tcW w:w="4284" w:type="dxa"/>
            <w:tcBorders>
              <w:top w:val="nil"/>
              <w:left w:val="single" w:sz="8" w:space="0" w:color="auto"/>
              <w:bottom w:val="single" w:sz="8" w:space="0" w:color="auto"/>
              <w:right w:val="single" w:sz="8" w:space="0" w:color="auto"/>
            </w:tcBorders>
          </w:tcPr>
          <w:p w14:paraId="13C2C1C3" w14:textId="77777777" w:rsidR="00DA3197" w:rsidRPr="007B31EA" w:rsidRDefault="00DA3197" w:rsidP="00DA3197">
            <w:pPr>
              <w:jc w:val="both"/>
              <w:rPr>
                <w:rFonts w:ascii="Calibri" w:hAnsi="Calibri" w:cs="Arial"/>
                <w:b/>
                <w:bCs/>
                <w:sz w:val="22"/>
                <w:szCs w:val="22"/>
              </w:rPr>
            </w:pPr>
            <w:r w:rsidRPr="007B31EA">
              <w:rPr>
                <w:rFonts w:ascii="Calibri" w:hAnsi="Calibri" w:cs="Arial"/>
                <w:b/>
                <w:bCs/>
                <w:sz w:val="22"/>
                <w:szCs w:val="22"/>
                <w:lang w:val="es-ES_tradnl"/>
              </w:rPr>
              <w:t>AHORRO NETO</w:t>
            </w:r>
          </w:p>
        </w:tc>
        <w:tc>
          <w:tcPr>
            <w:tcW w:w="2614" w:type="dxa"/>
            <w:tcBorders>
              <w:top w:val="nil"/>
              <w:left w:val="nil"/>
              <w:bottom w:val="single" w:sz="8" w:space="0" w:color="auto"/>
              <w:right w:val="single" w:sz="8" w:space="0" w:color="auto"/>
            </w:tcBorders>
            <w:vAlign w:val="bottom"/>
          </w:tcPr>
          <w:p w14:paraId="5F1B5760" w14:textId="5BCD2FD5" w:rsidR="00DA3197" w:rsidRPr="008214F0" w:rsidRDefault="00DA3197" w:rsidP="00DA3197">
            <w:pPr>
              <w:jc w:val="right"/>
              <w:rPr>
                <w:rFonts w:asciiTheme="minorHAnsi" w:hAnsiTheme="minorHAnsi" w:cstheme="minorBidi"/>
                <w:b/>
                <w:bCs/>
                <w:sz w:val="22"/>
                <w:szCs w:val="22"/>
              </w:rPr>
            </w:pPr>
            <w:r>
              <w:rPr>
                <w:rFonts w:ascii="Calibri" w:hAnsi="Calibri" w:cs="Calibri"/>
                <w:b/>
                <w:bCs/>
                <w:sz w:val="22"/>
                <w:szCs w:val="22"/>
              </w:rPr>
              <w:t>10.212.737,22</w:t>
            </w:r>
          </w:p>
        </w:tc>
      </w:tr>
    </w:tbl>
    <w:p w14:paraId="3AE8F217" w14:textId="2D6E0B1D" w:rsidR="00BD17B0" w:rsidRDefault="00BD17B0" w:rsidP="006E6BCA">
      <w:pPr>
        <w:spacing w:line="360" w:lineRule="auto"/>
        <w:jc w:val="both"/>
        <w:rPr>
          <w:rFonts w:ascii="Calibri" w:hAnsi="Calibri" w:cs="Arial"/>
          <w:sz w:val="24"/>
          <w:szCs w:val="24"/>
          <w:u w:val="single"/>
          <w:lang w:val="es-ES_tradnl"/>
        </w:rPr>
      </w:pPr>
    </w:p>
    <w:p w14:paraId="71AD1A72" w14:textId="77777777" w:rsidR="00391848" w:rsidRDefault="00391848" w:rsidP="006E6BCA">
      <w:pPr>
        <w:spacing w:line="360" w:lineRule="auto"/>
        <w:jc w:val="both"/>
        <w:rPr>
          <w:rFonts w:ascii="Calibri" w:hAnsi="Calibri" w:cs="Arial"/>
          <w:sz w:val="24"/>
          <w:szCs w:val="24"/>
          <w:u w:val="single"/>
          <w:lang w:val="es-ES_tradnl"/>
        </w:rPr>
      </w:pPr>
    </w:p>
    <w:p w14:paraId="0AAD9C9E" w14:textId="4B65F535" w:rsidR="0048043D" w:rsidRDefault="00911CEC" w:rsidP="00523BC7">
      <w:pPr>
        <w:pStyle w:val="Prrafodelista"/>
        <w:numPr>
          <w:ilvl w:val="0"/>
          <w:numId w:val="7"/>
        </w:numPr>
        <w:jc w:val="both"/>
        <w:rPr>
          <w:rFonts w:ascii="Calibri" w:hAnsi="Calibri" w:cs="Arial"/>
          <w:sz w:val="24"/>
          <w:szCs w:val="24"/>
          <w:lang w:val="es-ES_tradnl"/>
        </w:rPr>
      </w:pPr>
      <w:r w:rsidRPr="00E42380">
        <w:rPr>
          <w:rFonts w:ascii="Calibri" w:hAnsi="Calibri" w:cs="Arial"/>
          <w:sz w:val="24"/>
          <w:szCs w:val="24"/>
          <w:lang w:val="es-ES_tradnl"/>
        </w:rPr>
        <w:t>Las Obligaciones corrientes reconocidas a los efectos del cálculo del Ahorro corresponden a los Capítulos de Gastos I, II y IV</w:t>
      </w:r>
      <w:r w:rsidR="00051B43">
        <w:rPr>
          <w:rFonts w:ascii="Calibri" w:hAnsi="Calibri" w:cs="Arial"/>
          <w:sz w:val="24"/>
          <w:szCs w:val="24"/>
          <w:lang w:val="es-ES_tradnl"/>
        </w:rPr>
        <w:t>.</w:t>
      </w:r>
    </w:p>
    <w:p w14:paraId="4BE0503B" w14:textId="4A2A77D9" w:rsidR="00051E0E" w:rsidRPr="00051E0E" w:rsidRDefault="00051E0E" w:rsidP="00051E0E">
      <w:pPr>
        <w:pStyle w:val="Prrafodelista"/>
        <w:numPr>
          <w:ilvl w:val="0"/>
          <w:numId w:val="7"/>
        </w:numPr>
        <w:jc w:val="both"/>
        <w:rPr>
          <w:rFonts w:ascii="Calibri" w:hAnsi="Calibri" w:cs="Arial"/>
          <w:sz w:val="24"/>
          <w:szCs w:val="24"/>
          <w:lang w:val="es-ES_tradnl"/>
        </w:rPr>
      </w:pPr>
      <w:r w:rsidRPr="00051E0E">
        <w:rPr>
          <w:rFonts w:ascii="Calibri" w:hAnsi="Calibri" w:cs="Arial"/>
          <w:sz w:val="24"/>
          <w:szCs w:val="24"/>
          <w:lang w:val="es-ES_tradnl"/>
        </w:rPr>
        <w:t xml:space="preserve">La anualidad teórica de amortización se ha calculado aplicando </w:t>
      </w:r>
      <w:r w:rsidR="00D465D0" w:rsidRPr="00051E0E">
        <w:rPr>
          <w:rFonts w:ascii="Calibri" w:hAnsi="Calibri" w:cs="Arial"/>
          <w:sz w:val="24"/>
          <w:szCs w:val="24"/>
          <w:lang w:val="es-ES_tradnl"/>
        </w:rPr>
        <w:t>a</w:t>
      </w:r>
      <w:r w:rsidR="00D465D0">
        <w:rPr>
          <w:rFonts w:ascii="Calibri" w:hAnsi="Calibri" w:cs="Arial"/>
          <w:sz w:val="24"/>
          <w:szCs w:val="24"/>
          <w:lang w:val="es-ES_tradnl"/>
        </w:rPr>
        <w:t xml:space="preserve"> </w:t>
      </w:r>
      <w:r w:rsidR="00D465D0" w:rsidRPr="00051E0E">
        <w:rPr>
          <w:rFonts w:ascii="Calibri" w:hAnsi="Calibri" w:cs="Arial"/>
          <w:sz w:val="24"/>
          <w:szCs w:val="24"/>
          <w:lang w:val="es-ES_tradnl"/>
        </w:rPr>
        <w:t>l</w:t>
      </w:r>
      <w:r w:rsidR="00D465D0">
        <w:rPr>
          <w:rFonts w:ascii="Calibri" w:hAnsi="Calibri" w:cs="Arial"/>
          <w:sz w:val="24"/>
          <w:szCs w:val="24"/>
          <w:lang w:val="es-ES_tradnl"/>
        </w:rPr>
        <w:t xml:space="preserve">os </w:t>
      </w:r>
      <w:r w:rsidR="00D465D0" w:rsidRPr="00051E0E">
        <w:rPr>
          <w:rFonts w:ascii="Calibri" w:hAnsi="Calibri" w:cs="Arial"/>
          <w:sz w:val="24"/>
          <w:szCs w:val="24"/>
          <w:lang w:val="es-ES_tradnl"/>
        </w:rPr>
        <w:t>préstamos</w:t>
      </w:r>
      <w:r w:rsidRPr="00051E0E">
        <w:rPr>
          <w:rFonts w:ascii="Calibri" w:hAnsi="Calibri" w:cs="Arial"/>
          <w:sz w:val="24"/>
          <w:szCs w:val="24"/>
          <w:lang w:val="es-ES_tradnl"/>
        </w:rPr>
        <w:t xml:space="preserve"> en vigor, a 31 de diciembre de</w:t>
      </w:r>
      <w:r w:rsidR="002E0458">
        <w:rPr>
          <w:rFonts w:ascii="Calibri" w:hAnsi="Calibri" w:cs="Arial"/>
          <w:sz w:val="24"/>
          <w:szCs w:val="24"/>
          <w:lang w:val="es-ES_tradnl"/>
        </w:rPr>
        <w:t xml:space="preserve"> </w:t>
      </w:r>
      <w:r w:rsidR="002C6AC1">
        <w:rPr>
          <w:rFonts w:ascii="Calibri" w:hAnsi="Calibri" w:cs="Arial"/>
          <w:sz w:val="24"/>
          <w:szCs w:val="24"/>
          <w:lang w:val="es-ES_tradnl"/>
        </w:rPr>
        <w:t>202</w:t>
      </w:r>
      <w:r w:rsidR="00DA3197">
        <w:rPr>
          <w:rFonts w:ascii="Calibri" w:hAnsi="Calibri" w:cs="Arial"/>
          <w:sz w:val="24"/>
          <w:szCs w:val="24"/>
          <w:lang w:val="es-ES_tradnl"/>
        </w:rPr>
        <w:t>4</w:t>
      </w:r>
      <w:r w:rsidRPr="00051E0E">
        <w:rPr>
          <w:rFonts w:ascii="Calibri" w:hAnsi="Calibri" w:cs="Arial"/>
          <w:sz w:val="24"/>
          <w:szCs w:val="24"/>
          <w:lang w:val="es-ES_tradnl"/>
        </w:rPr>
        <w:t>, las condiciones vigentes a la fecha de la realización de la presente Liquidación presupuestaria</w:t>
      </w:r>
      <w:r w:rsidR="00FD3693">
        <w:rPr>
          <w:rFonts w:ascii="Calibri" w:hAnsi="Calibri" w:cs="Arial"/>
          <w:sz w:val="24"/>
          <w:szCs w:val="24"/>
          <w:lang w:val="es-ES_tradnl"/>
        </w:rPr>
        <w:t>:</w:t>
      </w:r>
    </w:p>
    <w:p w14:paraId="510E7E57" w14:textId="25C2A0AF" w:rsidR="003022BB" w:rsidRDefault="003022BB" w:rsidP="0048043D">
      <w:pPr>
        <w:spacing w:line="360" w:lineRule="auto"/>
        <w:jc w:val="both"/>
        <w:rPr>
          <w:rFonts w:ascii="Calibri" w:hAnsi="Calibri" w:cs="Arial"/>
          <w:sz w:val="24"/>
          <w:szCs w:val="24"/>
          <w:lang w:val="es-ES_tradnl"/>
        </w:rPr>
      </w:pPr>
    </w:p>
    <w:tbl>
      <w:tblPr>
        <w:tblW w:w="4360" w:type="dxa"/>
        <w:jc w:val="center"/>
        <w:tblCellMar>
          <w:left w:w="70" w:type="dxa"/>
          <w:right w:w="70" w:type="dxa"/>
        </w:tblCellMar>
        <w:tblLook w:val="04A0" w:firstRow="1" w:lastRow="0" w:firstColumn="1" w:lastColumn="0" w:noHBand="0" w:noVBand="1"/>
      </w:tblPr>
      <w:tblGrid>
        <w:gridCol w:w="1640"/>
        <w:gridCol w:w="1360"/>
        <w:gridCol w:w="1360"/>
      </w:tblGrid>
      <w:tr w:rsidR="00C76EE2" w:rsidRPr="00C76EE2" w14:paraId="36B273FB" w14:textId="77777777" w:rsidTr="00C76EE2">
        <w:trPr>
          <w:trHeight w:val="524"/>
          <w:jc w:val="center"/>
        </w:trPr>
        <w:tc>
          <w:tcPr>
            <w:tcW w:w="1640" w:type="dxa"/>
            <w:tcBorders>
              <w:top w:val="single" w:sz="4" w:space="0" w:color="auto"/>
              <w:left w:val="single" w:sz="4" w:space="0" w:color="auto"/>
              <w:bottom w:val="single" w:sz="4" w:space="0" w:color="auto"/>
              <w:right w:val="single" w:sz="4" w:space="0" w:color="auto"/>
            </w:tcBorders>
            <w:vAlign w:val="center"/>
            <w:hideMark/>
          </w:tcPr>
          <w:p w14:paraId="0303F1D4" w14:textId="77777777" w:rsidR="00C76EE2" w:rsidRPr="00C76EE2" w:rsidRDefault="00C76EE2" w:rsidP="00C76EE2">
            <w:pPr>
              <w:suppressAutoHyphens w:val="0"/>
              <w:jc w:val="center"/>
              <w:rPr>
                <w:rFonts w:ascii="Aptos Narrow" w:hAnsi="Aptos Narrow"/>
                <w:b/>
                <w:bCs/>
                <w:color w:val="000000"/>
                <w:lang w:eastAsia="es-ES"/>
              </w:rPr>
            </w:pPr>
            <w:r w:rsidRPr="00C76EE2">
              <w:rPr>
                <w:rFonts w:ascii="Aptos Narrow" w:hAnsi="Aptos Narrow"/>
                <w:b/>
                <w:bCs/>
                <w:color w:val="000000"/>
                <w:lang w:eastAsia="es-ES"/>
              </w:rPr>
              <w:lastRenderedPageBreak/>
              <w:t>ENTIDAD</w:t>
            </w:r>
          </w:p>
        </w:tc>
        <w:tc>
          <w:tcPr>
            <w:tcW w:w="1360" w:type="dxa"/>
            <w:tcBorders>
              <w:top w:val="single" w:sz="4" w:space="0" w:color="auto"/>
              <w:left w:val="nil"/>
              <w:bottom w:val="single" w:sz="4" w:space="0" w:color="auto"/>
              <w:right w:val="single" w:sz="4" w:space="0" w:color="auto"/>
            </w:tcBorders>
            <w:vAlign w:val="center"/>
            <w:hideMark/>
          </w:tcPr>
          <w:p w14:paraId="4961081D" w14:textId="77777777" w:rsidR="00C76EE2" w:rsidRPr="00C76EE2" w:rsidRDefault="00C76EE2" w:rsidP="00C76EE2">
            <w:pPr>
              <w:suppressAutoHyphens w:val="0"/>
              <w:jc w:val="center"/>
              <w:rPr>
                <w:rFonts w:ascii="Aptos Narrow" w:hAnsi="Aptos Narrow"/>
                <w:b/>
                <w:bCs/>
                <w:color w:val="000000"/>
                <w:lang w:eastAsia="es-ES"/>
              </w:rPr>
            </w:pPr>
            <w:r w:rsidRPr="00C76EE2">
              <w:rPr>
                <w:rFonts w:ascii="Aptos Narrow" w:hAnsi="Aptos Narrow"/>
                <w:b/>
                <w:bCs/>
                <w:color w:val="000000"/>
                <w:lang w:eastAsia="es-ES"/>
              </w:rPr>
              <w:t>NÚMERO ORDEN</w:t>
            </w:r>
          </w:p>
        </w:tc>
        <w:tc>
          <w:tcPr>
            <w:tcW w:w="1360" w:type="dxa"/>
            <w:tcBorders>
              <w:top w:val="single" w:sz="4" w:space="0" w:color="auto"/>
              <w:left w:val="nil"/>
              <w:bottom w:val="single" w:sz="4" w:space="0" w:color="auto"/>
              <w:right w:val="single" w:sz="4" w:space="0" w:color="auto"/>
            </w:tcBorders>
            <w:vAlign w:val="center"/>
            <w:hideMark/>
          </w:tcPr>
          <w:p w14:paraId="2A811FEC" w14:textId="77777777" w:rsidR="00C76EE2" w:rsidRPr="00C76EE2" w:rsidRDefault="00C76EE2" w:rsidP="00C76EE2">
            <w:pPr>
              <w:suppressAutoHyphens w:val="0"/>
              <w:jc w:val="center"/>
              <w:rPr>
                <w:rFonts w:ascii="Aptos Narrow" w:hAnsi="Aptos Narrow"/>
                <w:b/>
                <w:bCs/>
                <w:color w:val="000000"/>
                <w:lang w:eastAsia="es-ES"/>
              </w:rPr>
            </w:pPr>
            <w:r w:rsidRPr="00C76EE2">
              <w:rPr>
                <w:rFonts w:ascii="Aptos Narrow" w:hAnsi="Aptos Narrow"/>
                <w:b/>
                <w:bCs/>
                <w:color w:val="000000"/>
                <w:lang w:eastAsia="es-ES"/>
              </w:rPr>
              <w:t>ATA</w:t>
            </w:r>
          </w:p>
        </w:tc>
      </w:tr>
      <w:tr w:rsidR="00C76EE2" w:rsidRPr="00C76EE2" w14:paraId="33F45D2F"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77183674"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76EDEAE9"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001</w:t>
            </w:r>
          </w:p>
        </w:tc>
        <w:tc>
          <w:tcPr>
            <w:tcW w:w="1360" w:type="dxa"/>
            <w:tcBorders>
              <w:top w:val="nil"/>
              <w:left w:val="nil"/>
              <w:bottom w:val="single" w:sz="4" w:space="0" w:color="auto"/>
              <w:right w:val="single" w:sz="4" w:space="0" w:color="auto"/>
            </w:tcBorders>
            <w:noWrap/>
            <w:vAlign w:val="bottom"/>
            <w:hideMark/>
          </w:tcPr>
          <w:p w14:paraId="2059E6B4"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13.291,15</w:t>
            </w:r>
          </w:p>
        </w:tc>
      </w:tr>
      <w:tr w:rsidR="00C76EE2" w:rsidRPr="00C76EE2" w14:paraId="44E8FF17"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40A7AD17"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7BA81D19"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002</w:t>
            </w:r>
          </w:p>
        </w:tc>
        <w:tc>
          <w:tcPr>
            <w:tcW w:w="1360" w:type="dxa"/>
            <w:tcBorders>
              <w:top w:val="nil"/>
              <w:left w:val="nil"/>
              <w:bottom w:val="single" w:sz="4" w:space="0" w:color="auto"/>
              <w:right w:val="single" w:sz="4" w:space="0" w:color="auto"/>
            </w:tcBorders>
            <w:noWrap/>
            <w:vAlign w:val="bottom"/>
            <w:hideMark/>
          </w:tcPr>
          <w:p w14:paraId="7B714ECD"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4.808,28</w:t>
            </w:r>
          </w:p>
        </w:tc>
      </w:tr>
      <w:tr w:rsidR="00C76EE2" w:rsidRPr="00C76EE2" w14:paraId="2C3E3864"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398EEF7F"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3B86A252"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008</w:t>
            </w:r>
          </w:p>
        </w:tc>
        <w:tc>
          <w:tcPr>
            <w:tcW w:w="1360" w:type="dxa"/>
            <w:tcBorders>
              <w:top w:val="nil"/>
              <w:left w:val="nil"/>
              <w:bottom w:val="single" w:sz="4" w:space="0" w:color="auto"/>
              <w:right w:val="single" w:sz="4" w:space="0" w:color="auto"/>
            </w:tcBorders>
            <w:noWrap/>
            <w:vAlign w:val="bottom"/>
            <w:hideMark/>
          </w:tcPr>
          <w:p w14:paraId="370DECB2"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10.074,84</w:t>
            </w:r>
          </w:p>
        </w:tc>
      </w:tr>
      <w:tr w:rsidR="00C76EE2" w:rsidRPr="00C76EE2" w14:paraId="75B8EE32"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6A0611FE"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05ED29EC"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075</w:t>
            </w:r>
          </w:p>
        </w:tc>
        <w:tc>
          <w:tcPr>
            <w:tcW w:w="1360" w:type="dxa"/>
            <w:tcBorders>
              <w:top w:val="nil"/>
              <w:left w:val="nil"/>
              <w:bottom w:val="single" w:sz="4" w:space="0" w:color="auto"/>
              <w:right w:val="single" w:sz="4" w:space="0" w:color="auto"/>
            </w:tcBorders>
            <w:noWrap/>
            <w:vAlign w:val="bottom"/>
            <w:hideMark/>
          </w:tcPr>
          <w:p w14:paraId="766E04BE"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3.245,30</w:t>
            </w:r>
          </w:p>
        </w:tc>
      </w:tr>
      <w:tr w:rsidR="00C76EE2" w:rsidRPr="00C76EE2" w14:paraId="1C71AABD"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5296FA0F"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05040212"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077</w:t>
            </w:r>
          </w:p>
        </w:tc>
        <w:tc>
          <w:tcPr>
            <w:tcW w:w="1360" w:type="dxa"/>
            <w:tcBorders>
              <w:top w:val="nil"/>
              <w:left w:val="nil"/>
              <w:bottom w:val="single" w:sz="4" w:space="0" w:color="auto"/>
              <w:right w:val="single" w:sz="4" w:space="0" w:color="auto"/>
            </w:tcBorders>
            <w:noWrap/>
            <w:vAlign w:val="bottom"/>
            <w:hideMark/>
          </w:tcPr>
          <w:p w14:paraId="05D0203E"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2.507,88</w:t>
            </w:r>
          </w:p>
        </w:tc>
      </w:tr>
      <w:tr w:rsidR="00C76EE2" w:rsidRPr="00C76EE2" w14:paraId="3677516E"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4FAFE1B0"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2971EC4A"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088</w:t>
            </w:r>
          </w:p>
        </w:tc>
        <w:tc>
          <w:tcPr>
            <w:tcW w:w="1360" w:type="dxa"/>
            <w:tcBorders>
              <w:top w:val="nil"/>
              <w:left w:val="nil"/>
              <w:bottom w:val="single" w:sz="4" w:space="0" w:color="auto"/>
              <w:right w:val="single" w:sz="4" w:space="0" w:color="auto"/>
            </w:tcBorders>
            <w:noWrap/>
            <w:vAlign w:val="bottom"/>
            <w:hideMark/>
          </w:tcPr>
          <w:p w14:paraId="12829413"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9.960,07</w:t>
            </w:r>
          </w:p>
        </w:tc>
      </w:tr>
      <w:tr w:rsidR="00C76EE2" w:rsidRPr="00C76EE2" w14:paraId="4A7FBC0E"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1A7BA91A"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15131082"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090</w:t>
            </w:r>
          </w:p>
        </w:tc>
        <w:tc>
          <w:tcPr>
            <w:tcW w:w="1360" w:type="dxa"/>
            <w:tcBorders>
              <w:top w:val="nil"/>
              <w:left w:val="nil"/>
              <w:bottom w:val="single" w:sz="4" w:space="0" w:color="auto"/>
              <w:right w:val="single" w:sz="4" w:space="0" w:color="auto"/>
            </w:tcBorders>
            <w:noWrap/>
            <w:vAlign w:val="bottom"/>
            <w:hideMark/>
          </w:tcPr>
          <w:p w14:paraId="176CF856"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1.384,63</w:t>
            </w:r>
          </w:p>
        </w:tc>
      </w:tr>
      <w:tr w:rsidR="00C76EE2" w:rsidRPr="00C76EE2" w14:paraId="60B3BA99"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215E437F"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385033E2"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091</w:t>
            </w:r>
          </w:p>
        </w:tc>
        <w:tc>
          <w:tcPr>
            <w:tcW w:w="1360" w:type="dxa"/>
            <w:tcBorders>
              <w:top w:val="nil"/>
              <w:left w:val="nil"/>
              <w:bottom w:val="single" w:sz="4" w:space="0" w:color="auto"/>
              <w:right w:val="single" w:sz="4" w:space="0" w:color="auto"/>
            </w:tcBorders>
            <w:noWrap/>
            <w:vAlign w:val="bottom"/>
            <w:hideMark/>
          </w:tcPr>
          <w:p w14:paraId="77E32949"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2.475,20</w:t>
            </w:r>
          </w:p>
        </w:tc>
      </w:tr>
      <w:tr w:rsidR="00C76EE2" w:rsidRPr="00C76EE2" w14:paraId="7D9EFE5B"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6A0A5AC4"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2A491394"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092</w:t>
            </w:r>
          </w:p>
        </w:tc>
        <w:tc>
          <w:tcPr>
            <w:tcW w:w="1360" w:type="dxa"/>
            <w:tcBorders>
              <w:top w:val="nil"/>
              <w:left w:val="nil"/>
              <w:bottom w:val="single" w:sz="4" w:space="0" w:color="auto"/>
              <w:right w:val="single" w:sz="4" w:space="0" w:color="auto"/>
            </w:tcBorders>
            <w:noWrap/>
            <w:vAlign w:val="bottom"/>
            <w:hideMark/>
          </w:tcPr>
          <w:p w14:paraId="5080F0B4"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1.764,11</w:t>
            </w:r>
          </w:p>
        </w:tc>
      </w:tr>
      <w:tr w:rsidR="00C76EE2" w:rsidRPr="00C76EE2" w14:paraId="75C269C5"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5790E883"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6D34C261"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093</w:t>
            </w:r>
          </w:p>
        </w:tc>
        <w:tc>
          <w:tcPr>
            <w:tcW w:w="1360" w:type="dxa"/>
            <w:tcBorders>
              <w:top w:val="nil"/>
              <w:left w:val="nil"/>
              <w:bottom w:val="single" w:sz="4" w:space="0" w:color="auto"/>
              <w:right w:val="single" w:sz="4" w:space="0" w:color="auto"/>
            </w:tcBorders>
            <w:noWrap/>
            <w:vAlign w:val="bottom"/>
            <w:hideMark/>
          </w:tcPr>
          <w:p w14:paraId="1C11E672"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4.629,30</w:t>
            </w:r>
          </w:p>
        </w:tc>
      </w:tr>
      <w:tr w:rsidR="00C76EE2" w:rsidRPr="00C76EE2" w14:paraId="0653CF9C"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3E6099E9"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1AFD567D"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094</w:t>
            </w:r>
          </w:p>
        </w:tc>
        <w:tc>
          <w:tcPr>
            <w:tcW w:w="1360" w:type="dxa"/>
            <w:tcBorders>
              <w:top w:val="nil"/>
              <w:left w:val="nil"/>
              <w:bottom w:val="single" w:sz="4" w:space="0" w:color="auto"/>
              <w:right w:val="single" w:sz="4" w:space="0" w:color="auto"/>
            </w:tcBorders>
            <w:noWrap/>
            <w:vAlign w:val="bottom"/>
            <w:hideMark/>
          </w:tcPr>
          <w:p w14:paraId="03EBC0E5"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5.269,88</w:t>
            </w:r>
          </w:p>
        </w:tc>
      </w:tr>
      <w:tr w:rsidR="00C76EE2" w:rsidRPr="00C76EE2" w14:paraId="39737F2D"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585052E9"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1C899A2D"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095</w:t>
            </w:r>
          </w:p>
        </w:tc>
        <w:tc>
          <w:tcPr>
            <w:tcW w:w="1360" w:type="dxa"/>
            <w:tcBorders>
              <w:top w:val="nil"/>
              <w:left w:val="nil"/>
              <w:bottom w:val="single" w:sz="4" w:space="0" w:color="auto"/>
              <w:right w:val="single" w:sz="4" w:space="0" w:color="auto"/>
            </w:tcBorders>
            <w:noWrap/>
            <w:vAlign w:val="bottom"/>
            <w:hideMark/>
          </w:tcPr>
          <w:p w14:paraId="65EC688B"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7.540,08</w:t>
            </w:r>
          </w:p>
        </w:tc>
      </w:tr>
      <w:tr w:rsidR="00C76EE2" w:rsidRPr="00C76EE2" w14:paraId="1017CA9A"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1EE2C3A8"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CAJA CTO.PROVI.</w:t>
            </w:r>
          </w:p>
        </w:tc>
        <w:tc>
          <w:tcPr>
            <w:tcW w:w="1360" w:type="dxa"/>
            <w:tcBorders>
              <w:top w:val="nil"/>
              <w:left w:val="nil"/>
              <w:bottom w:val="single" w:sz="4" w:space="0" w:color="auto"/>
              <w:right w:val="single" w:sz="4" w:space="0" w:color="auto"/>
            </w:tcBorders>
            <w:noWrap/>
            <w:vAlign w:val="bottom"/>
            <w:hideMark/>
          </w:tcPr>
          <w:p w14:paraId="7C78C37E"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096</w:t>
            </w:r>
          </w:p>
        </w:tc>
        <w:tc>
          <w:tcPr>
            <w:tcW w:w="1360" w:type="dxa"/>
            <w:tcBorders>
              <w:top w:val="nil"/>
              <w:left w:val="nil"/>
              <w:bottom w:val="single" w:sz="4" w:space="0" w:color="auto"/>
              <w:right w:val="single" w:sz="4" w:space="0" w:color="auto"/>
            </w:tcBorders>
            <w:noWrap/>
            <w:vAlign w:val="bottom"/>
            <w:hideMark/>
          </w:tcPr>
          <w:p w14:paraId="3FF0B335"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6.805,74</w:t>
            </w:r>
          </w:p>
        </w:tc>
      </w:tr>
      <w:tr w:rsidR="00C76EE2" w:rsidRPr="00C76EE2" w14:paraId="517D3B43"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7BC44152"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SABADELL</w:t>
            </w:r>
          </w:p>
        </w:tc>
        <w:tc>
          <w:tcPr>
            <w:tcW w:w="1360" w:type="dxa"/>
            <w:tcBorders>
              <w:top w:val="nil"/>
              <w:left w:val="nil"/>
              <w:bottom w:val="single" w:sz="4" w:space="0" w:color="auto"/>
              <w:right w:val="single" w:sz="4" w:space="0" w:color="auto"/>
            </w:tcBorders>
            <w:noWrap/>
            <w:vAlign w:val="bottom"/>
            <w:hideMark/>
          </w:tcPr>
          <w:p w14:paraId="330ADCA7"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098</w:t>
            </w:r>
          </w:p>
        </w:tc>
        <w:tc>
          <w:tcPr>
            <w:tcW w:w="1360" w:type="dxa"/>
            <w:tcBorders>
              <w:top w:val="nil"/>
              <w:left w:val="nil"/>
              <w:bottom w:val="single" w:sz="4" w:space="0" w:color="auto"/>
              <w:right w:val="single" w:sz="4" w:space="0" w:color="auto"/>
            </w:tcBorders>
            <w:noWrap/>
            <w:vAlign w:val="bottom"/>
            <w:hideMark/>
          </w:tcPr>
          <w:p w14:paraId="42BFC1DE"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67.630,25</w:t>
            </w:r>
          </w:p>
        </w:tc>
      </w:tr>
      <w:tr w:rsidR="00C76EE2" w:rsidRPr="00C76EE2" w14:paraId="5CBEA4A4" w14:textId="77777777" w:rsidTr="00C76EE2">
        <w:trPr>
          <w:trHeight w:val="301"/>
          <w:jc w:val="center"/>
        </w:trPr>
        <w:tc>
          <w:tcPr>
            <w:tcW w:w="1640" w:type="dxa"/>
            <w:tcBorders>
              <w:top w:val="nil"/>
              <w:left w:val="single" w:sz="4" w:space="0" w:color="auto"/>
              <w:bottom w:val="single" w:sz="4" w:space="0" w:color="auto"/>
              <w:right w:val="single" w:sz="4" w:space="0" w:color="auto"/>
            </w:tcBorders>
            <w:noWrap/>
            <w:vAlign w:val="bottom"/>
            <w:hideMark/>
          </w:tcPr>
          <w:p w14:paraId="4C575C78" w14:textId="77777777" w:rsidR="00C76EE2" w:rsidRPr="00C76EE2" w:rsidRDefault="00C76EE2" w:rsidP="00C76EE2">
            <w:pPr>
              <w:suppressAutoHyphens w:val="0"/>
              <w:rPr>
                <w:rFonts w:ascii="Aptos Narrow" w:hAnsi="Aptos Narrow"/>
                <w:color w:val="000000"/>
                <w:lang w:eastAsia="es-ES"/>
              </w:rPr>
            </w:pPr>
            <w:r w:rsidRPr="00C76EE2">
              <w:rPr>
                <w:rFonts w:ascii="Aptos Narrow" w:hAnsi="Aptos Narrow"/>
                <w:color w:val="000000"/>
                <w:lang w:eastAsia="es-ES"/>
              </w:rPr>
              <w:t>SABADELL</w:t>
            </w:r>
          </w:p>
        </w:tc>
        <w:tc>
          <w:tcPr>
            <w:tcW w:w="1360" w:type="dxa"/>
            <w:tcBorders>
              <w:top w:val="nil"/>
              <w:left w:val="nil"/>
              <w:bottom w:val="single" w:sz="4" w:space="0" w:color="auto"/>
              <w:right w:val="single" w:sz="4" w:space="0" w:color="auto"/>
            </w:tcBorders>
            <w:noWrap/>
            <w:vAlign w:val="bottom"/>
            <w:hideMark/>
          </w:tcPr>
          <w:p w14:paraId="4E834D59" w14:textId="77777777" w:rsidR="00C76EE2" w:rsidRPr="00C76EE2" w:rsidRDefault="00C76EE2" w:rsidP="00C76EE2">
            <w:pPr>
              <w:suppressAutoHyphens w:val="0"/>
              <w:jc w:val="center"/>
              <w:rPr>
                <w:rFonts w:ascii="Aptos Narrow" w:hAnsi="Aptos Narrow"/>
                <w:color w:val="000000"/>
                <w:lang w:eastAsia="es-ES"/>
              </w:rPr>
            </w:pPr>
            <w:r w:rsidRPr="00C76EE2">
              <w:rPr>
                <w:rFonts w:ascii="Aptos Narrow" w:hAnsi="Aptos Narrow"/>
                <w:color w:val="000000"/>
                <w:lang w:eastAsia="es-ES"/>
              </w:rPr>
              <w:t>099</w:t>
            </w:r>
          </w:p>
        </w:tc>
        <w:tc>
          <w:tcPr>
            <w:tcW w:w="1360" w:type="dxa"/>
            <w:tcBorders>
              <w:top w:val="nil"/>
              <w:left w:val="nil"/>
              <w:bottom w:val="single" w:sz="4" w:space="0" w:color="auto"/>
              <w:right w:val="single" w:sz="4" w:space="0" w:color="auto"/>
            </w:tcBorders>
            <w:noWrap/>
            <w:vAlign w:val="bottom"/>
            <w:hideMark/>
          </w:tcPr>
          <w:p w14:paraId="1E3B1C70" w14:textId="77777777" w:rsidR="00C76EE2" w:rsidRPr="00C76EE2" w:rsidRDefault="00C76EE2" w:rsidP="00C76EE2">
            <w:pPr>
              <w:suppressAutoHyphens w:val="0"/>
              <w:jc w:val="right"/>
              <w:rPr>
                <w:rFonts w:ascii="Aptos Narrow" w:hAnsi="Aptos Narrow"/>
                <w:color w:val="000000"/>
                <w:lang w:eastAsia="es-ES"/>
              </w:rPr>
            </w:pPr>
            <w:r w:rsidRPr="00C76EE2">
              <w:rPr>
                <w:rFonts w:ascii="Aptos Narrow" w:hAnsi="Aptos Narrow"/>
                <w:color w:val="000000"/>
                <w:lang w:eastAsia="es-ES"/>
              </w:rPr>
              <w:t>160.652,57</w:t>
            </w:r>
          </w:p>
        </w:tc>
      </w:tr>
      <w:tr w:rsidR="00C76EE2" w:rsidRPr="00C76EE2" w14:paraId="10E29AE5" w14:textId="77777777" w:rsidTr="00C76EE2">
        <w:trPr>
          <w:trHeight w:val="301"/>
          <w:jc w:val="center"/>
        </w:trPr>
        <w:tc>
          <w:tcPr>
            <w:tcW w:w="3000" w:type="dxa"/>
            <w:gridSpan w:val="2"/>
            <w:tcBorders>
              <w:top w:val="single" w:sz="4" w:space="0" w:color="auto"/>
              <w:left w:val="single" w:sz="4" w:space="0" w:color="auto"/>
              <w:bottom w:val="single" w:sz="4" w:space="0" w:color="auto"/>
              <w:right w:val="single" w:sz="4" w:space="0" w:color="000000"/>
            </w:tcBorders>
            <w:noWrap/>
            <w:vAlign w:val="bottom"/>
            <w:hideMark/>
          </w:tcPr>
          <w:p w14:paraId="18BF0B03" w14:textId="77777777" w:rsidR="00C76EE2" w:rsidRPr="00C76EE2" w:rsidRDefault="00C76EE2" w:rsidP="00C76EE2">
            <w:pPr>
              <w:suppressAutoHyphens w:val="0"/>
              <w:jc w:val="center"/>
              <w:rPr>
                <w:rFonts w:ascii="Aptos Narrow" w:hAnsi="Aptos Narrow"/>
                <w:b/>
                <w:bCs/>
                <w:color w:val="000000"/>
                <w:lang w:eastAsia="es-ES"/>
              </w:rPr>
            </w:pPr>
            <w:r w:rsidRPr="00C76EE2">
              <w:rPr>
                <w:rFonts w:ascii="Aptos Narrow" w:hAnsi="Aptos Narrow"/>
                <w:b/>
                <w:bCs/>
                <w:color w:val="000000"/>
                <w:lang w:eastAsia="es-ES"/>
              </w:rPr>
              <w:t>SUMAN</w:t>
            </w:r>
          </w:p>
        </w:tc>
        <w:tc>
          <w:tcPr>
            <w:tcW w:w="1360" w:type="dxa"/>
            <w:tcBorders>
              <w:top w:val="nil"/>
              <w:left w:val="nil"/>
              <w:bottom w:val="single" w:sz="4" w:space="0" w:color="auto"/>
              <w:right w:val="single" w:sz="4" w:space="0" w:color="auto"/>
            </w:tcBorders>
            <w:noWrap/>
            <w:vAlign w:val="bottom"/>
            <w:hideMark/>
          </w:tcPr>
          <w:p w14:paraId="741626FD" w14:textId="77777777" w:rsidR="00C76EE2" w:rsidRPr="00C76EE2" w:rsidRDefault="00C76EE2" w:rsidP="00C76EE2">
            <w:pPr>
              <w:suppressAutoHyphens w:val="0"/>
              <w:jc w:val="right"/>
              <w:rPr>
                <w:rFonts w:ascii="Aptos Narrow" w:hAnsi="Aptos Narrow"/>
                <w:b/>
                <w:bCs/>
                <w:color w:val="000000"/>
                <w:lang w:eastAsia="es-ES"/>
              </w:rPr>
            </w:pPr>
            <w:r w:rsidRPr="00C76EE2">
              <w:rPr>
                <w:rFonts w:ascii="Aptos Narrow" w:hAnsi="Aptos Narrow"/>
                <w:b/>
                <w:bCs/>
                <w:color w:val="000000"/>
                <w:lang w:eastAsia="es-ES"/>
              </w:rPr>
              <w:t>302.039,28</w:t>
            </w:r>
          </w:p>
        </w:tc>
      </w:tr>
    </w:tbl>
    <w:p w14:paraId="369B2ED8" w14:textId="7A60E311" w:rsidR="00331054" w:rsidRDefault="00331054" w:rsidP="00FD3693">
      <w:pPr>
        <w:spacing w:line="360" w:lineRule="auto"/>
        <w:ind w:left="3540"/>
        <w:jc w:val="both"/>
        <w:rPr>
          <w:rFonts w:ascii="Calibri" w:hAnsi="Calibri" w:cs="Arial"/>
          <w:sz w:val="24"/>
          <w:szCs w:val="24"/>
          <w:lang w:val="es-ES_tradnl"/>
        </w:rPr>
      </w:pPr>
    </w:p>
    <w:p w14:paraId="71F3F1C4" w14:textId="77777777" w:rsidR="00331054" w:rsidRPr="0048043D" w:rsidRDefault="00331054" w:rsidP="0048043D">
      <w:pPr>
        <w:spacing w:line="360" w:lineRule="auto"/>
        <w:jc w:val="both"/>
        <w:rPr>
          <w:rFonts w:ascii="Calibri" w:hAnsi="Calibri" w:cs="Arial"/>
          <w:sz w:val="24"/>
          <w:szCs w:val="24"/>
          <w:lang w:val="es-ES_tradnl"/>
        </w:rPr>
      </w:pPr>
    </w:p>
    <w:p w14:paraId="7F89BBFD" w14:textId="77777777" w:rsidR="00AB2C57" w:rsidRDefault="00DE5790">
      <w:pPr>
        <w:jc w:val="both"/>
        <w:rPr>
          <w:rFonts w:ascii="Calibri" w:hAnsi="Calibri" w:cs="Arial"/>
          <w:sz w:val="24"/>
          <w:szCs w:val="24"/>
        </w:rPr>
      </w:pPr>
      <w:r>
        <w:rPr>
          <w:rFonts w:ascii="Calibri" w:hAnsi="Calibri" w:cs="Arial"/>
          <w:sz w:val="24"/>
          <w:szCs w:val="24"/>
        </w:rPr>
        <w:tab/>
      </w:r>
      <w:r w:rsidR="006E6BCA" w:rsidRPr="006E6BCA">
        <w:rPr>
          <w:rFonts w:ascii="Calibri" w:hAnsi="Calibri" w:cs="Arial"/>
          <w:b/>
          <w:sz w:val="24"/>
          <w:szCs w:val="24"/>
          <w:u w:val="single"/>
        </w:rPr>
        <w:t xml:space="preserve">g.) </w:t>
      </w:r>
      <w:proofErr w:type="gramStart"/>
      <w:r w:rsidRPr="006E6BCA">
        <w:rPr>
          <w:rFonts w:ascii="Calibri" w:hAnsi="Calibri" w:cs="Arial"/>
          <w:b/>
          <w:sz w:val="24"/>
          <w:szCs w:val="24"/>
          <w:u w:val="single"/>
        </w:rPr>
        <w:t>Procedimiento</w:t>
      </w:r>
      <w:r w:rsidRPr="00DE5790">
        <w:rPr>
          <w:rFonts w:ascii="Calibri" w:hAnsi="Calibri" w:cs="Arial"/>
          <w:b/>
          <w:sz w:val="24"/>
          <w:szCs w:val="24"/>
          <w:u w:val="single"/>
        </w:rPr>
        <w:t>.-</w:t>
      </w:r>
      <w:proofErr w:type="gramEnd"/>
      <w:r w:rsidR="00AB2C57" w:rsidRPr="00DE5790">
        <w:rPr>
          <w:rFonts w:ascii="Calibri" w:hAnsi="Calibri" w:cs="Arial"/>
          <w:b/>
          <w:sz w:val="24"/>
          <w:szCs w:val="24"/>
          <w:u w:val="single"/>
        </w:rPr>
        <w:t xml:space="preserve">  </w:t>
      </w:r>
    </w:p>
    <w:p w14:paraId="61FDD238" w14:textId="77777777" w:rsidR="00DE5790" w:rsidRPr="00DE5790" w:rsidRDefault="00DE5790">
      <w:pPr>
        <w:jc w:val="both"/>
        <w:rPr>
          <w:rFonts w:ascii="Calibri" w:hAnsi="Calibri" w:cs="Arial"/>
          <w:sz w:val="24"/>
          <w:szCs w:val="24"/>
        </w:rPr>
      </w:pPr>
    </w:p>
    <w:p w14:paraId="61768B2E" w14:textId="77777777" w:rsidR="00AB2C57" w:rsidRPr="005113A9" w:rsidRDefault="00AB2C57">
      <w:pPr>
        <w:pStyle w:val="Sangra2detindependiente1"/>
        <w:widowControl/>
        <w:autoSpaceDE/>
        <w:rPr>
          <w:rFonts w:ascii="Calibri" w:hAnsi="Calibri" w:cs="Arial"/>
        </w:rPr>
      </w:pPr>
      <w:r w:rsidRPr="005113A9">
        <w:rPr>
          <w:rFonts w:ascii="Calibri" w:hAnsi="Calibri" w:cs="Arial"/>
        </w:rPr>
        <w:t>En cuanto al procedimiento a seguir es el siguiente:</w:t>
      </w:r>
    </w:p>
    <w:p w14:paraId="1BC63F93" w14:textId="77777777" w:rsidR="00AB2C57" w:rsidRPr="005113A9" w:rsidRDefault="00AB2C57">
      <w:pPr>
        <w:ind w:left="360"/>
        <w:jc w:val="both"/>
        <w:rPr>
          <w:rFonts w:ascii="Calibri" w:hAnsi="Calibri" w:cs="Arial"/>
          <w:sz w:val="24"/>
          <w:szCs w:val="24"/>
        </w:rPr>
      </w:pPr>
    </w:p>
    <w:p w14:paraId="1F81B868" w14:textId="77777777" w:rsidR="00AB2C57" w:rsidRPr="005113A9" w:rsidRDefault="00AB2C57">
      <w:pPr>
        <w:ind w:firstLine="708"/>
        <w:jc w:val="both"/>
        <w:rPr>
          <w:rFonts w:ascii="Calibri" w:hAnsi="Calibri" w:cs="Arial"/>
          <w:sz w:val="24"/>
          <w:szCs w:val="24"/>
        </w:rPr>
      </w:pPr>
      <w:r w:rsidRPr="005113A9">
        <w:rPr>
          <w:rFonts w:ascii="Calibri" w:hAnsi="Calibri" w:cs="Arial"/>
          <w:b/>
          <w:sz w:val="24"/>
          <w:szCs w:val="24"/>
        </w:rPr>
        <w:t>1.</w:t>
      </w:r>
      <w:r w:rsidRPr="005113A9">
        <w:rPr>
          <w:rFonts w:ascii="Calibri" w:hAnsi="Calibri" w:cs="Arial"/>
          <w:sz w:val="24"/>
          <w:szCs w:val="24"/>
        </w:rPr>
        <w:t xml:space="preserve"> Corresponde al </w:t>
      </w:r>
      <w:proofErr w:type="gramStart"/>
      <w:r w:rsidRPr="005113A9">
        <w:rPr>
          <w:rFonts w:ascii="Calibri" w:hAnsi="Calibri" w:cs="Arial"/>
          <w:sz w:val="24"/>
          <w:szCs w:val="24"/>
        </w:rPr>
        <w:t>Presidente</w:t>
      </w:r>
      <w:proofErr w:type="gramEnd"/>
      <w:r w:rsidRPr="005113A9">
        <w:rPr>
          <w:rFonts w:ascii="Calibri" w:hAnsi="Calibri" w:cs="Arial"/>
          <w:sz w:val="24"/>
          <w:szCs w:val="24"/>
        </w:rPr>
        <w:t xml:space="preserve"> de la Entidad Local, previo informe de Intervención, la aprobación de la Liquidación del Presupuesto de la Entidad Local.</w:t>
      </w:r>
    </w:p>
    <w:p w14:paraId="4E8C24A1" w14:textId="77777777" w:rsidR="00AB2C57" w:rsidRPr="005113A9" w:rsidRDefault="00AB2C57">
      <w:pPr>
        <w:ind w:firstLine="708"/>
        <w:jc w:val="both"/>
        <w:rPr>
          <w:rFonts w:ascii="Calibri" w:hAnsi="Calibri" w:cs="Arial"/>
          <w:b/>
          <w:sz w:val="24"/>
          <w:szCs w:val="24"/>
        </w:rPr>
      </w:pPr>
      <w:r w:rsidRPr="005113A9">
        <w:rPr>
          <w:rFonts w:ascii="Calibri" w:hAnsi="Calibri" w:cs="Arial"/>
          <w:sz w:val="24"/>
          <w:szCs w:val="24"/>
        </w:rPr>
        <w:t> </w:t>
      </w:r>
    </w:p>
    <w:p w14:paraId="71660CD3" w14:textId="77777777" w:rsidR="00AB2C57" w:rsidRPr="005113A9" w:rsidRDefault="00AB2C57">
      <w:pPr>
        <w:ind w:firstLine="696"/>
        <w:jc w:val="both"/>
        <w:rPr>
          <w:rFonts w:ascii="Calibri" w:hAnsi="Calibri" w:cs="Arial"/>
          <w:sz w:val="24"/>
          <w:szCs w:val="24"/>
        </w:rPr>
      </w:pPr>
      <w:r w:rsidRPr="005113A9">
        <w:rPr>
          <w:rFonts w:ascii="Calibri" w:hAnsi="Calibri" w:cs="Arial"/>
          <w:b/>
          <w:sz w:val="24"/>
          <w:szCs w:val="24"/>
        </w:rPr>
        <w:t>2.</w:t>
      </w:r>
      <w:r w:rsidRPr="005113A9">
        <w:rPr>
          <w:rFonts w:ascii="Calibri" w:hAnsi="Calibri" w:cs="Arial"/>
          <w:sz w:val="24"/>
          <w:szCs w:val="24"/>
        </w:rPr>
        <w:t xml:space="preserve"> De la Liquidación de cada uno de los Presupuestos, una vez efectuada la aprobación, se dará cuenta al Pleno en la primera sesión que celebre.</w:t>
      </w:r>
    </w:p>
    <w:p w14:paraId="730700C5" w14:textId="77777777" w:rsidR="00AB2C57" w:rsidRPr="005113A9" w:rsidRDefault="00AB2C57">
      <w:pPr>
        <w:ind w:firstLine="696"/>
        <w:jc w:val="both"/>
        <w:rPr>
          <w:rFonts w:ascii="Calibri" w:hAnsi="Calibri" w:cs="Arial"/>
          <w:sz w:val="24"/>
          <w:szCs w:val="24"/>
        </w:rPr>
      </w:pPr>
    </w:p>
    <w:p w14:paraId="6EB58B29" w14:textId="77777777" w:rsidR="00AB2C57" w:rsidRPr="005113A9" w:rsidRDefault="00AB2C57">
      <w:pPr>
        <w:ind w:firstLine="696"/>
        <w:jc w:val="both"/>
        <w:rPr>
          <w:rFonts w:ascii="Calibri" w:hAnsi="Calibri" w:cs="Arial"/>
          <w:sz w:val="24"/>
          <w:szCs w:val="24"/>
        </w:rPr>
      </w:pPr>
      <w:r w:rsidRPr="005113A9">
        <w:rPr>
          <w:rFonts w:ascii="Calibri" w:hAnsi="Calibri" w:cs="Arial"/>
          <w:b/>
          <w:sz w:val="24"/>
          <w:szCs w:val="24"/>
        </w:rPr>
        <w:t>3.</w:t>
      </w:r>
      <w:r w:rsidRPr="005113A9">
        <w:rPr>
          <w:rFonts w:ascii="Calibri" w:hAnsi="Calibri" w:cs="Arial"/>
          <w:sz w:val="24"/>
          <w:szCs w:val="24"/>
        </w:rPr>
        <w:t xml:space="preserve"> Aprobada la Liquidación se deberá remitir copia de </w:t>
      </w:r>
      <w:proofErr w:type="gramStart"/>
      <w:r w:rsidRPr="005113A9">
        <w:rPr>
          <w:rFonts w:ascii="Calibri" w:hAnsi="Calibri" w:cs="Arial"/>
          <w:sz w:val="24"/>
          <w:szCs w:val="24"/>
        </w:rPr>
        <w:t>la misma</w:t>
      </w:r>
      <w:proofErr w:type="gramEnd"/>
      <w:r w:rsidRPr="005113A9">
        <w:rPr>
          <w:rFonts w:ascii="Calibri" w:hAnsi="Calibri" w:cs="Arial"/>
          <w:sz w:val="24"/>
          <w:szCs w:val="24"/>
        </w:rPr>
        <w:t xml:space="preserve"> a la Comunidad Autónoma y al Órgano correspondiente del Ministerio de Economía y Hacienda.</w:t>
      </w:r>
    </w:p>
    <w:p w14:paraId="45A89F00" w14:textId="77777777" w:rsidR="00AB2C57" w:rsidRDefault="00AB2C57">
      <w:pPr>
        <w:jc w:val="both"/>
        <w:rPr>
          <w:rFonts w:ascii="Calibri" w:hAnsi="Calibri" w:cs="Arial"/>
          <w:sz w:val="24"/>
          <w:szCs w:val="24"/>
        </w:rPr>
      </w:pPr>
    </w:p>
    <w:p w14:paraId="70E8AD9F" w14:textId="77777777" w:rsidR="00183C7C" w:rsidRPr="005113A9" w:rsidRDefault="00183C7C">
      <w:pPr>
        <w:jc w:val="both"/>
        <w:rPr>
          <w:rFonts w:ascii="Calibri" w:hAnsi="Calibri" w:cs="Arial"/>
          <w:sz w:val="24"/>
          <w:szCs w:val="24"/>
        </w:rPr>
      </w:pPr>
    </w:p>
    <w:p w14:paraId="295998CF" w14:textId="0BFEA44C" w:rsidR="00AB2C57" w:rsidRPr="005113A9" w:rsidRDefault="00AB2C57" w:rsidP="00E42380">
      <w:pPr>
        <w:jc w:val="center"/>
        <w:rPr>
          <w:rFonts w:ascii="Calibri" w:hAnsi="Calibri" w:cs="Arial"/>
          <w:sz w:val="24"/>
          <w:szCs w:val="24"/>
        </w:rPr>
      </w:pPr>
      <w:r w:rsidRPr="005113A9">
        <w:rPr>
          <w:rFonts w:ascii="Calibri" w:hAnsi="Calibri" w:cs="Arial"/>
          <w:sz w:val="24"/>
          <w:szCs w:val="24"/>
        </w:rPr>
        <w:t xml:space="preserve">En </w:t>
      </w:r>
      <w:r w:rsidR="005E7D17">
        <w:rPr>
          <w:rFonts w:ascii="Calibri" w:hAnsi="Calibri" w:cs="Arial"/>
          <w:sz w:val="24"/>
          <w:szCs w:val="24"/>
        </w:rPr>
        <w:t>Santa Pola</w:t>
      </w:r>
      <w:r w:rsidR="00353CDF">
        <w:rPr>
          <w:rFonts w:ascii="Calibri" w:hAnsi="Calibri" w:cs="Arial"/>
          <w:sz w:val="24"/>
          <w:szCs w:val="24"/>
        </w:rPr>
        <w:t>, a la fecha de la firma</w:t>
      </w:r>
    </w:p>
    <w:p w14:paraId="6D481457" w14:textId="77777777" w:rsidR="00AB2C57" w:rsidRPr="005113A9" w:rsidRDefault="00AB2C57" w:rsidP="00E42380">
      <w:pPr>
        <w:ind w:firstLine="1416"/>
        <w:jc w:val="center"/>
        <w:rPr>
          <w:rFonts w:ascii="Calibri" w:hAnsi="Calibri" w:cs="Arial"/>
          <w:sz w:val="24"/>
          <w:szCs w:val="24"/>
        </w:rPr>
      </w:pPr>
    </w:p>
    <w:p w14:paraId="338598C2" w14:textId="27B47A6F" w:rsidR="00AB2C57" w:rsidRDefault="005E7D17" w:rsidP="00E42380">
      <w:pPr>
        <w:jc w:val="center"/>
        <w:rPr>
          <w:rFonts w:ascii="Calibri" w:hAnsi="Calibri" w:cs="Arial"/>
          <w:b/>
          <w:bCs/>
          <w:kern w:val="1"/>
          <w:sz w:val="24"/>
          <w:szCs w:val="24"/>
        </w:rPr>
      </w:pPr>
      <w:r>
        <w:rPr>
          <w:rFonts w:ascii="Calibri" w:hAnsi="Calibri" w:cs="Arial"/>
          <w:b/>
          <w:bCs/>
          <w:kern w:val="1"/>
          <w:sz w:val="24"/>
          <w:szCs w:val="24"/>
        </w:rPr>
        <w:t>EL INTERVENTOR</w:t>
      </w:r>
    </w:p>
    <w:p w14:paraId="6EF56358" w14:textId="77777777" w:rsidR="00986CDD" w:rsidRPr="00706A2D" w:rsidRDefault="00986CDD" w:rsidP="00E42380">
      <w:pPr>
        <w:jc w:val="center"/>
        <w:rPr>
          <w:rFonts w:ascii="Calibri" w:hAnsi="Calibri" w:cs="Arial"/>
          <w:b/>
          <w:bCs/>
          <w:kern w:val="1"/>
          <w:sz w:val="24"/>
          <w:szCs w:val="24"/>
        </w:rPr>
      </w:pPr>
    </w:p>
    <w:p w14:paraId="2742257B" w14:textId="377473CA" w:rsidR="00AB2C57" w:rsidRPr="00BA4B9D" w:rsidRDefault="00BA4B9D" w:rsidP="00E42380">
      <w:pPr>
        <w:jc w:val="center"/>
        <w:rPr>
          <w:rFonts w:ascii="Calibri" w:hAnsi="Calibri" w:cs="Arial"/>
          <w:sz w:val="24"/>
          <w:szCs w:val="24"/>
        </w:rPr>
      </w:pPr>
      <w:r w:rsidRPr="00BA4B9D">
        <w:rPr>
          <w:rFonts w:ascii="Calibri" w:hAnsi="Calibri" w:cs="Arial"/>
          <w:sz w:val="24"/>
          <w:szCs w:val="24"/>
        </w:rPr>
        <w:t>Documento firmado electrónicamente</w:t>
      </w:r>
    </w:p>
    <w:sectPr w:rsidR="00AB2C57" w:rsidRPr="00BA4B9D" w:rsidSect="00BA4B9D">
      <w:pgSz w:w="11906" w:h="16838"/>
      <w:pgMar w:top="2268" w:right="1418" w:bottom="1276" w:left="1418"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83CB" w14:textId="77777777" w:rsidR="001315BA" w:rsidRDefault="001315BA">
      <w:r>
        <w:separator/>
      </w:r>
    </w:p>
  </w:endnote>
  <w:endnote w:type="continuationSeparator" w:id="0">
    <w:p w14:paraId="0352F90F" w14:textId="77777777" w:rsidR="001315BA" w:rsidRDefault="001315BA">
      <w:r>
        <w:continuationSeparator/>
      </w:r>
    </w:p>
  </w:endnote>
  <w:endnote w:type="continuationNotice" w:id="1">
    <w:p w14:paraId="4A069D7B" w14:textId="77777777" w:rsidR="001315BA" w:rsidRDefault="00131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w:altName w:val="Courier New"/>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A073" w14:textId="77777777" w:rsidR="001315BA" w:rsidRDefault="001315BA">
      <w:r>
        <w:separator/>
      </w:r>
    </w:p>
  </w:footnote>
  <w:footnote w:type="continuationSeparator" w:id="0">
    <w:p w14:paraId="48A89DD1" w14:textId="77777777" w:rsidR="001315BA" w:rsidRDefault="001315BA">
      <w:r>
        <w:continuationSeparator/>
      </w:r>
    </w:p>
  </w:footnote>
  <w:footnote w:type="continuationNotice" w:id="1">
    <w:p w14:paraId="3223A90D" w14:textId="77777777" w:rsidR="001315BA" w:rsidRDefault="001315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pacing w:val="-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8Num4"/>
    <w:lvl w:ilvl="0">
      <w:start w:val="4"/>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35261E87"/>
    <w:multiLevelType w:val="hybridMultilevel"/>
    <w:tmpl w:val="7B7242E8"/>
    <w:lvl w:ilvl="0" w:tplc="120A781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3164BEA"/>
    <w:multiLevelType w:val="hybridMultilevel"/>
    <w:tmpl w:val="E9923D74"/>
    <w:lvl w:ilvl="0" w:tplc="792C2C7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num w:numId="1" w16cid:durableId="2056412">
    <w:abstractNumId w:val="0"/>
  </w:num>
  <w:num w:numId="2" w16cid:durableId="699402164">
    <w:abstractNumId w:val="1"/>
  </w:num>
  <w:num w:numId="3" w16cid:durableId="1879126333">
    <w:abstractNumId w:val="2"/>
  </w:num>
  <w:num w:numId="4" w16cid:durableId="1569727313">
    <w:abstractNumId w:val="3"/>
  </w:num>
  <w:num w:numId="5" w16cid:durableId="1885288709">
    <w:abstractNumId w:val="4"/>
  </w:num>
  <w:num w:numId="6" w16cid:durableId="583492485">
    <w:abstractNumId w:val="6"/>
  </w:num>
  <w:num w:numId="7" w16cid:durableId="1211916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A6"/>
    <w:rsid w:val="0000760D"/>
    <w:rsid w:val="00010C5E"/>
    <w:rsid w:val="00012B70"/>
    <w:rsid w:val="000178BA"/>
    <w:rsid w:val="00017D2C"/>
    <w:rsid w:val="00017E8D"/>
    <w:rsid w:val="00051B43"/>
    <w:rsid w:val="00051E0E"/>
    <w:rsid w:val="0006153D"/>
    <w:rsid w:val="000943F5"/>
    <w:rsid w:val="00095F19"/>
    <w:rsid w:val="000A18E5"/>
    <w:rsid w:val="000C423E"/>
    <w:rsid w:val="000F7161"/>
    <w:rsid w:val="00116561"/>
    <w:rsid w:val="001315BA"/>
    <w:rsid w:val="001436E5"/>
    <w:rsid w:val="0016382E"/>
    <w:rsid w:val="00176B8D"/>
    <w:rsid w:val="00183C7C"/>
    <w:rsid w:val="00185665"/>
    <w:rsid w:val="00186DC5"/>
    <w:rsid w:val="001A191B"/>
    <w:rsid w:val="001A2514"/>
    <w:rsid w:val="001A516E"/>
    <w:rsid w:val="001B0BE8"/>
    <w:rsid w:val="001C06CB"/>
    <w:rsid w:val="001D25A3"/>
    <w:rsid w:val="001D710E"/>
    <w:rsid w:val="001E79B0"/>
    <w:rsid w:val="001F0538"/>
    <w:rsid w:val="00216EB1"/>
    <w:rsid w:val="00224DE8"/>
    <w:rsid w:val="00250E24"/>
    <w:rsid w:val="002651B1"/>
    <w:rsid w:val="002750DF"/>
    <w:rsid w:val="002765B1"/>
    <w:rsid w:val="00286C53"/>
    <w:rsid w:val="00286DC8"/>
    <w:rsid w:val="00293C15"/>
    <w:rsid w:val="00296840"/>
    <w:rsid w:val="002A5D3A"/>
    <w:rsid w:val="002A651D"/>
    <w:rsid w:val="002A7DDB"/>
    <w:rsid w:val="002B55A6"/>
    <w:rsid w:val="002C0D6D"/>
    <w:rsid w:val="002C6A44"/>
    <w:rsid w:val="002C6AC1"/>
    <w:rsid w:val="002D2DEC"/>
    <w:rsid w:val="002E0017"/>
    <w:rsid w:val="002E0458"/>
    <w:rsid w:val="002E08F5"/>
    <w:rsid w:val="002F7C07"/>
    <w:rsid w:val="003022BB"/>
    <w:rsid w:val="00313D41"/>
    <w:rsid w:val="00323CD3"/>
    <w:rsid w:val="00331054"/>
    <w:rsid w:val="0033592A"/>
    <w:rsid w:val="00353CDF"/>
    <w:rsid w:val="00391848"/>
    <w:rsid w:val="00393BCD"/>
    <w:rsid w:val="003A430B"/>
    <w:rsid w:val="003A672D"/>
    <w:rsid w:val="003B0761"/>
    <w:rsid w:val="003B0C20"/>
    <w:rsid w:val="003B0F0D"/>
    <w:rsid w:val="003B608C"/>
    <w:rsid w:val="003D2C68"/>
    <w:rsid w:val="003D464D"/>
    <w:rsid w:val="003D6B0F"/>
    <w:rsid w:val="003E4C29"/>
    <w:rsid w:val="003E5BCD"/>
    <w:rsid w:val="003F4773"/>
    <w:rsid w:val="003F7702"/>
    <w:rsid w:val="00415049"/>
    <w:rsid w:val="00423C1B"/>
    <w:rsid w:val="00431106"/>
    <w:rsid w:val="00433EA4"/>
    <w:rsid w:val="00434609"/>
    <w:rsid w:val="0043600C"/>
    <w:rsid w:val="004511C8"/>
    <w:rsid w:val="004512CA"/>
    <w:rsid w:val="00456012"/>
    <w:rsid w:val="0048043D"/>
    <w:rsid w:val="004A73C2"/>
    <w:rsid w:val="004B49E1"/>
    <w:rsid w:val="004C1FE5"/>
    <w:rsid w:val="004D0DA9"/>
    <w:rsid w:val="004D3B00"/>
    <w:rsid w:val="004E0EEC"/>
    <w:rsid w:val="004E1027"/>
    <w:rsid w:val="004F7362"/>
    <w:rsid w:val="00501071"/>
    <w:rsid w:val="00503E8F"/>
    <w:rsid w:val="005113A9"/>
    <w:rsid w:val="005127D6"/>
    <w:rsid w:val="00512BF0"/>
    <w:rsid w:val="00523BC7"/>
    <w:rsid w:val="005427C4"/>
    <w:rsid w:val="005741B5"/>
    <w:rsid w:val="00583965"/>
    <w:rsid w:val="00585069"/>
    <w:rsid w:val="00591366"/>
    <w:rsid w:val="005967E9"/>
    <w:rsid w:val="005A04F7"/>
    <w:rsid w:val="005A57C4"/>
    <w:rsid w:val="005B0152"/>
    <w:rsid w:val="005C1DC0"/>
    <w:rsid w:val="005D67AE"/>
    <w:rsid w:val="005E7D17"/>
    <w:rsid w:val="005F0137"/>
    <w:rsid w:val="005F1BC7"/>
    <w:rsid w:val="005F57A7"/>
    <w:rsid w:val="00601A29"/>
    <w:rsid w:val="00607A86"/>
    <w:rsid w:val="00623196"/>
    <w:rsid w:val="00646870"/>
    <w:rsid w:val="00663BFF"/>
    <w:rsid w:val="0066467C"/>
    <w:rsid w:val="00676D0D"/>
    <w:rsid w:val="006904AD"/>
    <w:rsid w:val="00697334"/>
    <w:rsid w:val="006A299F"/>
    <w:rsid w:val="006A3644"/>
    <w:rsid w:val="006B450E"/>
    <w:rsid w:val="006D172E"/>
    <w:rsid w:val="006D5377"/>
    <w:rsid w:val="006D59F7"/>
    <w:rsid w:val="006E0C37"/>
    <w:rsid w:val="006E14B1"/>
    <w:rsid w:val="006E6BCA"/>
    <w:rsid w:val="006F799C"/>
    <w:rsid w:val="0070546F"/>
    <w:rsid w:val="00706A2D"/>
    <w:rsid w:val="00721A6B"/>
    <w:rsid w:val="00735229"/>
    <w:rsid w:val="007420FA"/>
    <w:rsid w:val="00747A51"/>
    <w:rsid w:val="00752BE0"/>
    <w:rsid w:val="00753DFD"/>
    <w:rsid w:val="00756741"/>
    <w:rsid w:val="007608BF"/>
    <w:rsid w:val="00764C92"/>
    <w:rsid w:val="00772315"/>
    <w:rsid w:val="00777D47"/>
    <w:rsid w:val="00787061"/>
    <w:rsid w:val="007B0681"/>
    <w:rsid w:val="007B3166"/>
    <w:rsid w:val="007B31EA"/>
    <w:rsid w:val="007C3B24"/>
    <w:rsid w:val="007C6EC7"/>
    <w:rsid w:val="007D2CB0"/>
    <w:rsid w:val="007D35D6"/>
    <w:rsid w:val="007D36BC"/>
    <w:rsid w:val="007E5163"/>
    <w:rsid w:val="008214F0"/>
    <w:rsid w:val="008251D8"/>
    <w:rsid w:val="00834C19"/>
    <w:rsid w:val="0083765C"/>
    <w:rsid w:val="008403F6"/>
    <w:rsid w:val="008454D0"/>
    <w:rsid w:val="00845DFD"/>
    <w:rsid w:val="008565A2"/>
    <w:rsid w:val="00860D05"/>
    <w:rsid w:val="00876177"/>
    <w:rsid w:val="008815E2"/>
    <w:rsid w:val="0089378E"/>
    <w:rsid w:val="008C05EB"/>
    <w:rsid w:val="008C2388"/>
    <w:rsid w:val="008D03F2"/>
    <w:rsid w:val="008D4665"/>
    <w:rsid w:val="008E7663"/>
    <w:rsid w:val="008F5838"/>
    <w:rsid w:val="008F6ED7"/>
    <w:rsid w:val="008F7C4E"/>
    <w:rsid w:val="00903705"/>
    <w:rsid w:val="00903B47"/>
    <w:rsid w:val="00911CEC"/>
    <w:rsid w:val="00911F1C"/>
    <w:rsid w:val="00914DD5"/>
    <w:rsid w:val="00922B8F"/>
    <w:rsid w:val="00926F9A"/>
    <w:rsid w:val="00947F0E"/>
    <w:rsid w:val="0095506E"/>
    <w:rsid w:val="00962226"/>
    <w:rsid w:val="0097019D"/>
    <w:rsid w:val="00986CDD"/>
    <w:rsid w:val="009947B8"/>
    <w:rsid w:val="009A7160"/>
    <w:rsid w:val="009C30CD"/>
    <w:rsid w:val="009C715C"/>
    <w:rsid w:val="009D2613"/>
    <w:rsid w:val="009D5A8F"/>
    <w:rsid w:val="009D67C2"/>
    <w:rsid w:val="009F14C8"/>
    <w:rsid w:val="009F166C"/>
    <w:rsid w:val="009F295F"/>
    <w:rsid w:val="009F6F56"/>
    <w:rsid w:val="00A52A03"/>
    <w:rsid w:val="00A6625E"/>
    <w:rsid w:val="00A70C14"/>
    <w:rsid w:val="00A71458"/>
    <w:rsid w:val="00A749C5"/>
    <w:rsid w:val="00A7777C"/>
    <w:rsid w:val="00A86447"/>
    <w:rsid w:val="00A8792D"/>
    <w:rsid w:val="00A9211A"/>
    <w:rsid w:val="00AA46E2"/>
    <w:rsid w:val="00AA5269"/>
    <w:rsid w:val="00AA6B2B"/>
    <w:rsid w:val="00AB2C57"/>
    <w:rsid w:val="00AB3A2B"/>
    <w:rsid w:val="00AD00F0"/>
    <w:rsid w:val="00AE261F"/>
    <w:rsid w:val="00AE2A44"/>
    <w:rsid w:val="00AE6341"/>
    <w:rsid w:val="00B02731"/>
    <w:rsid w:val="00B029D9"/>
    <w:rsid w:val="00B04D4A"/>
    <w:rsid w:val="00B24AE9"/>
    <w:rsid w:val="00B55A84"/>
    <w:rsid w:val="00B55DAD"/>
    <w:rsid w:val="00B56403"/>
    <w:rsid w:val="00B57828"/>
    <w:rsid w:val="00B60EA3"/>
    <w:rsid w:val="00B73000"/>
    <w:rsid w:val="00B73E21"/>
    <w:rsid w:val="00B83C7D"/>
    <w:rsid w:val="00B92E8A"/>
    <w:rsid w:val="00BA16A7"/>
    <w:rsid w:val="00BA36F4"/>
    <w:rsid w:val="00BA4B9D"/>
    <w:rsid w:val="00BA6CCB"/>
    <w:rsid w:val="00BB0F01"/>
    <w:rsid w:val="00BC400C"/>
    <w:rsid w:val="00BC792F"/>
    <w:rsid w:val="00BD17B0"/>
    <w:rsid w:val="00BD7EBC"/>
    <w:rsid w:val="00BE52A0"/>
    <w:rsid w:val="00BF7E0F"/>
    <w:rsid w:val="00C0195D"/>
    <w:rsid w:val="00C11DF2"/>
    <w:rsid w:val="00C26B6F"/>
    <w:rsid w:val="00C31B25"/>
    <w:rsid w:val="00C34140"/>
    <w:rsid w:val="00C46A82"/>
    <w:rsid w:val="00C50F15"/>
    <w:rsid w:val="00C51906"/>
    <w:rsid w:val="00C6140F"/>
    <w:rsid w:val="00C64452"/>
    <w:rsid w:val="00C646B9"/>
    <w:rsid w:val="00C76EE2"/>
    <w:rsid w:val="00C84A68"/>
    <w:rsid w:val="00C95FE3"/>
    <w:rsid w:val="00CB3DAB"/>
    <w:rsid w:val="00CC77AD"/>
    <w:rsid w:val="00CC7BBA"/>
    <w:rsid w:val="00CD5492"/>
    <w:rsid w:val="00CD697B"/>
    <w:rsid w:val="00CD717F"/>
    <w:rsid w:val="00D05792"/>
    <w:rsid w:val="00D0734F"/>
    <w:rsid w:val="00D210EC"/>
    <w:rsid w:val="00D3026C"/>
    <w:rsid w:val="00D465D0"/>
    <w:rsid w:val="00D55413"/>
    <w:rsid w:val="00D577D8"/>
    <w:rsid w:val="00D632B9"/>
    <w:rsid w:val="00D64B57"/>
    <w:rsid w:val="00D72D48"/>
    <w:rsid w:val="00D76E7D"/>
    <w:rsid w:val="00D83932"/>
    <w:rsid w:val="00DA12EB"/>
    <w:rsid w:val="00DA3197"/>
    <w:rsid w:val="00DB59AE"/>
    <w:rsid w:val="00DB7E8F"/>
    <w:rsid w:val="00DE5790"/>
    <w:rsid w:val="00DE5B76"/>
    <w:rsid w:val="00DF2D1A"/>
    <w:rsid w:val="00DF516F"/>
    <w:rsid w:val="00E076B5"/>
    <w:rsid w:val="00E12553"/>
    <w:rsid w:val="00E25C69"/>
    <w:rsid w:val="00E4195D"/>
    <w:rsid w:val="00E42380"/>
    <w:rsid w:val="00E43AF7"/>
    <w:rsid w:val="00E677B9"/>
    <w:rsid w:val="00E76691"/>
    <w:rsid w:val="00E8069A"/>
    <w:rsid w:val="00E8530C"/>
    <w:rsid w:val="00E935AC"/>
    <w:rsid w:val="00E96A10"/>
    <w:rsid w:val="00EA5881"/>
    <w:rsid w:val="00EA6B16"/>
    <w:rsid w:val="00EA76EB"/>
    <w:rsid w:val="00EA77BD"/>
    <w:rsid w:val="00ED1680"/>
    <w:rsid w:val="00EF1F4E"/>
    <w:rsid w:val="00F13B42"/>
    <w:rsid w:val="00F171C4"/>
    <w:rsid w:val="00F31CF1"/>
    <w:rsid w:val="00F335B0"/>
    <w:rsid w:val="00F346C0"/>
    <w:rsid w:val="00F36E56"/>
    <w:rsid w:val="00F5063B"/>
    <w:rsid w:val="00F51E92"/>
    <w:rsid w:val="00F5609C"/>
    <w:rsid w:val="00F625E9"/>
    <w:rsid w:val="00F805ED"/>
    <w:rsid w:val="00F870F7"/>
    <w:rsid w:val="00F92DD6"/>
    <w:rsid w:val="00F967CD"/>
    <w:rsid w:val="00FA081C"/>
    <w:rsid w:val="00FA7FBD"/>
    <w:rsid w:val="00FD3693"/>
    <w:rsid w:val="00FE1D8C"/>
    <w:rsid w:val="00FF6B29"/>
    <w:rsid w:val="00FF6C57"/>
    <w:rsid w:val="0C97F24A"/>
    <w:rsid w:val="10BECE87"/>
    <w:rsid w:val="11DFCAF8"/>
    <w:rsid w:val="12F3A504"/>
    <w:rsid w:val="1ACA7E63"/>
    <w:rsid w:val="27A27705"/>
    <w:rsid w:val="2B2AC0DB"/>
    <w:rsid w:val="2B346F70"/>
    <w:rsid w:val="38066E44"/>
    <w:rsid w:val="3E1116A7"/>
    <w:rsid w:val="3E182A41"/>
    <w:rsid w:val="3E392FE1"/>
    <w:rsid w:val="436FB851"/>
    <w:rsid w:val="45DE75BB"/>
    <w:rsid w:val="47161A6F"/>
    <w:rsid w:val="5BEDF2DD"/>
    <w:rsid w:val="60564A2B"/>
    <w:rsid w:val="65A21512"/>
    <w:rsid w:val="65EDBF87"/>
    <w:rsid w:val="67291FE4"/>
    <w:rsid w:val="6E354458"/>
    <w:rsid w:val="73AFA150"/>
    <w:rsid w:val="7D4DBF6B"/>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3B3F3B"/>
  <w15:chartTrackingRefBased/>
  <w15:docId w15:val="{787C1970-48FB-477D-8E76-03ADA207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bidi="ar-SA"/>
    </w:rPr>
  </w:style>
  <w:style w:type="paragraph" w:styleId="Ttulo1">
    <w:name w:val="heading 1"/>
    <w:basedOn w:val="Normal"/>
    <w:next w:val="Normal"/>
    <w:qFormat/>
    <w:pPr>
      <w:keepNext/>
      <w:widowControl w:val="0"/>
      <w:numPr>
        <w:numId w:val="2"/>
      </w:numPr>
      <w:tabs>
        <w:tab w:val="center" w:pos="4099"/>
      </w:tabs>
      <w:autoSpaceDE w:val="0"/>
      <w:ind w:left="-1560" w:firstLine="1560"/>
      <w:jc w:val="center"/>
      <w:outlineLvl w:val="0"/>
    </w:pPr>
    <w:rPr>
      <w:rFonts w:ascii="Courier" w:hAnsi="Courier" w:cs="Courier"/>
      <w:u w:val="single"/>
    </w:rPr>
  </w:style>
  <w:style w:type="paragraph" w:styleId="Ttulo2">
    <w:name w:val="heading 2"/>
    <w:basedOn w:val="Normal"/>
    <w:next w:val="Normal"/>
    <w:qFormat/>
    <w:pPr>
      <w:keepNext/>
      <w:tabs>
        <w:tab w:val="num" w:pos="0"/>
      </w:tabs>
      <w:ind w:left="432" w:hanging="432"/>
      <w:jc w:val="both"/>
      <w:outlineLvl w:val="1"/>
    </w:pPr>
    <w:rPr>
      <w:b/>
      <w:bCs/>
    </w:rPr>
  </w:style>
  <w:style w:type="paragraph" w:styleId="Ttulo3">
    <w:name w:val="heading 3"/>
    <w:basedOn w:val="Normal"/>
    <w:next w:val="Normal"/>
    <w:qFormat/>
    <w:pPr>
      <w:keepNext/>
      <w:tabs>
        <w:tab w:val="num" w:pos="0"/>
      </w:tabs>
      <w:ind w:left="432" w:hanging="432"/>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pacing w:val="-2"/>
      <w:lang w:val="es-ES"/>
    </w:rPr>
  </w:style>
  <w:style w:type="character" w:customStyle="1" w:styleId="WW8Num4z0">
    <w:name w:val="WW8Num4z0"/>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Fuentedeprrafopredeter1">
    <w:name w:val="Fuente de párrafo predeter.1"/>
  </w:style>
  <w:style w:type="character" w:customStyle="1" w:styleId="WW8Num5z2">
    <w:name w:val="WW8Num5z2"/>
    <w:rPr>
      <w:rFonts w:ascii="Wingdings" w:hAnsi="Wingdings" w:cs="Wingdings"/>
    </w:rPr>
  </w:style>
  <w:style w:type="character" w:styleId="nfasis">
    <w:name w:val="Emphasis"/>
    <w:qFormat/>
    <w:rPr>
      <w:i/>
      <w:i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jc w:val="both"/>
    </w:pPr>
    <w:rPr>
      <w:i/>
      <w:iCs/>
    </w:rPr>
  </w:style>
  <w:style w:type="paragraph" w:styleId="Lista">
    <w:name w:val="List"/>
    <w:basedOn w:val="Textoindependiente"/>
    <w:rPr>
      <w:rFonts w:cs="Mangal"/>
    </w:rPr>
  </w:style>
  <w:style w:type="paragraph" w:customStyle="1" w:styleId="Epgrafe">
    <w:name w:val="Epígrafe"/>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Textoindependiente21">
    <w:name w:val="Texto independiente 21"/>
    <w:basedOn w:val="Normal"/>
    <w:pPr>
      <w:jc w:val="both"/>
    </w:pPr>
    <w:rPr>
      <w:rFonts w:ascii="Arial" w:hAnsi="Arial" w:cs="Arial"/>
    </w:rPr>
  </w:style>
  <w:style w:type="paragraph" w:styleId="Textodeglobo">
    <w:name w:val="Balloon Text"/>
    <w:basedOn w:val="Normal"/>
    <w:rPr>
      <w:rFonts w:ascii="Tahoma" w:hAnsi="Tahoma" w:cs="Tahoma"/>
      <w:sz w:val="16"/>
      <w:szCs w:val="16"/>
    </w:rPr>
  </w:style>
  <w:style w:type="paragraph" w:customStyle="1" w:styleId="Contenidodelmarco">
    <w:name w:val="Contenido del marco"/>
    <w:basedOn w:val="Normal"/>
  </w:style>
  <w:style w:type="paragraph" w:customStyle="1" w:styleId="Sangra2detindependiente1">
    <w:name w:val="Sangría 2 de t. independiente1"/>
    <w:basedOn w:val="Normal"/>
    <w:pPr>
      <w:widowControl w:val="0"/>
      <w:autoSpaceDE w:val="0"/>
      <w:ind w:firstLine="708"/>
      <w:jc w:val="both"/>
    </w:pPr>
    <w:rPr>
      <w:sz w:val="24"/>
      <w:szCs w:val="24"/>
    </w:rPr>
  </w:style>
  <w:style w:type="paragraph" w:styleId="Sangradetextonormal">
    <w:name w:val="Body Text Indent"/>
    <w:basedOn w:val="Normal"/>
    <w:pPr>
      <w:spacing w:after="120"/>
      <w:ind w:left="283"/>
    </w:pPr>
  </w:style>
  <w:style w:type="paragraph" w:styleId="NormalWeb">
    <w:name w:val="Normal (Web)"/>
    <w:basedOn w:val="Normal"/>
    <w:pPr>
      <w:spacing w:before="280" w:after="280"/>
    </w:pPr>
    <w:rPr>
      <w:sz w:val="24"/>
      <w:szCs w:val="24"/>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rrafodelista">
    <w:name w:val="List Paragraph"/>
    <w:basedOn w:val="Normal"/>
    <w:uiPriority w:val="34"/>
    <w:qFormat/>
    <w:rsid w:val="0048043D"/>
    <w:pPr>
      <w:ind w:left="720"/>
      <w:contextualSpacing/>
    </w:pPr>
  </w:style>
  <w:style w:type="paragraph" w:customStyle="1" w:styleId="paragraph">
    <w:name w:val="paragraph"/>
    <w:basedOn w:val="Normal"/>
    <w:rsid w:val="00E42380"/>
    <w:pPr>
      <w:suppressAutoHyphens w:val="0"/>
      <w:spacing w:before="100" w:beforeAutospacing="1" w:after="100" w:afterAutospacing="1"/>
    </w:pPr>
    <w:rPr>
      <w:sz w:val="24"/>
      <w:szCs w:val="24"/>
      <w:lang w:eastAsia="es-ES" w:bidi="he-IL"/>
    </w:rPr>
  </w:style>
  <w:style w:type="character" w:customStyle="1" w:styleId="normaltextrun">
    <w:name w:val="normaltextrun"/>
    <w:basedOn w:val="Fuentedeprrafopredeter"/>
    <w:rsid w:val="00E42380"/>
  </w:style>
  <w:style w:type="character" w:customStyle="1" w:styleId="eop">
    <w:name w:val="eop"/>
    <w:basedOn w:val="Fuentedeprrafopredeter"/>
    <w:rsid w:val="00E4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128">
      <w:bodyDiv w:val="1"/>
      <w:marLeft w:val="0"/>
      <w:marRight w:val="0"/>
      <w:marTop w:val="0"/>
      <w:marBottom w:val="0"/>
      <w:divBdr>
        <w:top w:val="none" w:sz="0" w:space="0" w:color="auto"/>
        <w:left w:val="none" w:sz="0" w:space="0" w:color="auto"/>
        <w:bottom w:val="none" w:sz="0" w:space="0" w:color="auto"/>
        <w:right w:val="none" w:sz="0" w:space="0" w:color="auto"/>
      </w:divBdr>
    </w:div>
    <w:div w:id="97019518">
      <w:bodyDiv w:val="1"/>
      <w:marLeft w:val="0"/>
      <w:marRight w:val="0"/>
      <w:marTop w:val="0"/>
      <w:marBottom w:val="0"/>
      <w:divBdr>
        <w:top w:val="none" w:sz="0" w:space="0" w:color="auto"/>
        <w:left w:val="none" w:sz="0" w:space="0" w:color="auto"/>
        <w:bottom w:val="none" w:sz="0" w:space="0" w:color="auto"/>
        <w:right w:val="none" w:sz="0" w:space="0" w:color="auto"/>
      </w:divBdr>
      <w:divsChild>
        <w:div w:id="1672484629">
          <w:marLeft w:val="0"/>
          <w:marRight w:val="0"/>
          <w:marTop w:val="0"/>
          <w:marBottom w:val="0"/>
          <w:divBdr>
            <w:top w:val="none" w:sz="0" w:space="0" w:color="auto"/>
            <w:left w:val="none" w:sz="0" w:space="0" w:color="auto"/>
            <w:bottom w:val="none" w:sz="0" w:space="0" w:color="auto"/>
            <w:right w:val="none" w:sz="0" w:space="0" w:color="auto"/>
          </w:divBdr>
        </w:div>
      </w:divsChild>
    </w:div>
    <w:div w:id="209390125">
      <w:bodyDiv w:val="1"/>
      <w:marLeft w:val="0"/>
      <w:marRight w:val="0"/>
      <w:marTop w:val="0"/>
      <w:marBottom w:val="0"/>
      <w:divBdr>
        <w:top w:val="none" w:sz="0" w:space="0" w:color="auto"/>
        <w:left w:val="none" w:sz="0" w:space="0" w:color="auto"/>
        <w:bottom w:val="none" w:sz="0" w:space="0" w:color="auto"/>
        <w:right w:val="none" w:sz="0" w:space="0" w:color="auto"/>
      </w:divBdr>
      <w:divsChild>
        <w:div w:id="1189639520">
          <w:marLeft w:val="0"/>
          <w:marRight w:val="0"/>
          <w:marTop w:val="0"/>
          <w:marBottom w:val="0"/>
          <w:divBdr>
            <w:top w:val="none" w:sz="0" w:space="0" w:color="auto"/>
            <w:left w:val="none" w:sz="0" w:space="0" w:color="auto"/>
            <w:bottom w:val="none" w:sz="0" w:space="0" w:color="auto"/>
            <w:right w:val="none" w:sz="0" w:space="0" w:color="auto"/>
          </w:divBdr>
        </w:div>
      </w:divsChild>
    </w:div>
    <w:div w:id="297423500">
      <w:bodyDiv w:val="1"/>
      <w:marLeft w:val="0"/>
      <w:marRight w:val="0"/>
      <w:marTop w:val="0"/>
      <w:marBottom w:val="0"/>
      <w:divBdr>
        <w:top w:val="none" w:sz="0" w:space="0" w:color="auto"/>
        <w:left w:val="none" w:sz="0" w:space="0" w:color="auto"/>
        <w:bottom w:val="none" w:sz="0" w:space="0" w:color="auto"/>
        <w:right w:val="none" w:sz="0" w:space="0" w:color="auto"/>
      </w:divBdr>
    </w:div>
    <w:div w:id="425004101">
      <w:bodyDiv w:val="1"/>
      <w:marLeft w:val="0"/>
      <w:marRight w:val="0"/>
      <w:marTop w:val="0"/>
      <w:marBottom w:val="0"/>
      <w:divBdr>
        <w:top w:val="none" w:sz="0" w:space="0" w:color="auto"/>
        <w:left w:val="none" w:sz="0" w:space="0" w:color="auto"/>
        <w:bottom w:val="none" w:sz="0" w:space="0" w:color="auto"/>
        <w:right w:val="none" w:sz="0" w:space="0" w:color="auto"/>
      </w:divBdr>
      <w:divsChild>
        <w:div w:id="86002320">
          <w:marLeft w:val="0"/>
          <w:marRight w:val="0"/>
          <w:marTop w:val="0"/>
          <w:marBottom w:val="0"/>
          <w:divBdr>
            <w:top w:val="none" w:sz="0" w:space="0" w:color="auto"/>
            <w:left w:val="none" w:sz="0" w:space="0" w:color="auto"/>
            <w:bottom w:val="none" w:sz="0" w:space="0" w:color="auto"/>
            <w:right w:val="none" w:sz="0" w:space="0" w:color="auto"/>
          </w:divBdr>
        </w:div>
      </w:divsChild>
    </w:div>
    <w:div w:id="460004019">
      <w:bodyDiv w:val="1"/>
      <w:marLeft w:val="0"/>
      <w:marRight w:val="0"/>
      <w:marTop w:val="0"/>
      <w:marBottom w:val="0"/>
      <w:divBdr>
        <w:top w:val="none" w:sz="0" w:space="0" w:color="auto"/>
        <w:left w:val="none" w:sz="0" w:space="0" w:color="auto"/>
        <w:bottom w:val="none" w:sz="0" w:space="0" w:color="auto"/>
        <w:right w:val="none" w:sz="0" w:space="0" w:color="auto"/>
      </w:divBdr>
      <w:divsChild>
        <w:div w:id="936258003">
          <w:marLeft w:val="0"/>
          <w:marRight w:val="0"/>
          <w:marTop w:val="0"/>
          <w:marBottom w:val="0"/>
          <w:divBdr>
            <w:top w:val="none" w:sz="0" w:space="0" w:color="auto"/>
            <w:left w:val="none" w:sz="0" w:space="0" w:color="auto"/>
            <w:bottom w:val="none" w:sz="0" w:space="0" w:color="auto"/>
            <w:right w:val="none" w:sz="0" w:space="0" w:color="auto"/>
          </w:divBdr>
        </w:div>
      </w:divsChild>
    </w:div>
    <w:div w:id="511337786">
      <w:bodyDiv w:val="1"/>
      <w:marLeft w:val="0"/>
      <w:marRight w:val="0"/>
      <w:marTop w:val="0"/>
      <w:marBottom w:val="0"/>
      <w:divBdr>
        <w:top w:val="none" w:sz="0" w:space="0" w:color="auto"/>
        <w:left w:val="none" w:sz="0" w:space="0" w:color="auto"/>
        <w:bottom w:val="none" w:sz="0" w:space="0" w:color="auto"/>
        <w:right w:val="none" w:sz="0" w:space="0" w:color="auto"/>
      </w:divBdr>
    </w:div>
    <w:div w:id="630742917">
      <w:bodyDiv w:val="1"/>
      <w:marLeft w:val="0"/>
      <w:marRight w:val="0"/>
      <w:marTop w:val="0"/>
      <w:marBottom w:val="0"/>
      <w:divBdr>
        <w:top w:val="none" w:sz="0" w:space="0" w:color="auto"/>
        <w:left w:val="none" w:sz="0" w:space="0" w:color="auto"/>
        <w:bottom w:val="none" w:sz="0" w:space="0" w:color="auto"/>
        <w:right w:val="none" w:sz="0" w:space="0" w:color="auto"/>
      </w:divBdr>
      <w:divsChild>
        <w:div w:id="1189182500">
          <w:marLeft w:val="0"/>
          <w:marRight w:val="0"/>
          <w:marTop w:val="0"/>
          <w:marBottom w:val="0"/>
          <w:divBdr>
            <w:top w:val="none" w:sz="0" w:space="0" w:color="auto"/>
            <w:left w:val="none" w:sz="0" w:space="0" w:color="auto"/>
            <w:bottom w:val="none" w:sz="0" w:space="0" w:color="auto"/>
            <w:right w:val="none" w:sz="0" w:space="0" w:color="auto"/>
          </w:divBdr>
        </w:div>
      </w:divsChild>
    </w:div>
    <w:div w:id="650018737">
      <w:bodyDiv w:val="1"/>
      <w:marLeft w:val="0"/>
      <w:marRight w:val="0"/>
      <w:marTop w:val="0"/>
      <w:marBottom w:val="0"/>
      <w:divBdr>
        <w:top w:val="none" w:sz="0" w:space="0" w:color="auto"/>
        <w:left w:val="none" w:sz="0" w:space="0" w:color="auto"/>
        <w:bottom w:val="none" w:sz="0" w:space="0" w:color="auto"/>
        <w:right w:val="none" w:sz="0" w:space="0" w:color="auto"/>
      </w:divBdr>
      <w:divsChild>
        <w:div w:id="1521434112">
          <w:marLeft w:val="0"/>
          <w:marRight w:val="0"/>
          <w:marTop w:val="0"/>
          <w:marBottom w:val="0"/>
          <w:divBdr>
            <w:top w:val="none" w:sz="0" w:space="0" w:color="auto"/>
            <w:left w:val="none" w:sz="0" w:space="0" w:color="auto"/>
            <w:bottom w:val="none" w:sz="0" w:space="0" w:color="auto"/>
            <w:right w:val="none" w:sz="0" w:space="0" w:color="auto"/>
          </w:divBdr>
        </w:div>
      </w:divsChild>
    </w:div>
    <w:div w:id="1061514409">
      <w:bodyDiv w:val="1"/>
      <w:marLeft w:val="0"/>
      <w:marRight w:val="0"/>
      <w:marTop w:val="0"/>
      <w:marBottom w:val="0"/>
      <w:divBdr>
        <w:top w:val="none" w:sz="0" w:space="0" w:color="auto"/>
        <w:left w:val="none" w:sz="0" w:space="0" w:color="auto"/>
        <w:bottom w:val="none" w:sz="0" w:space="0" w:color="auto"/>
        <w:right w:val="none" w:sz="0" w:space="0" w:color="auto"/>
      </w:divBdr>
    </w:div>
    <w:div w:id="1148591464">
      <w:bodyDiv w:val="1"/>
      <w:marLeft w:val="0"/>
      <w:marRight w:val="0"/>
      <w:marTop w:val="0"/>
      <w:marBottom w:val="0"/>
      <w:divBdr>
        <w:top w:val="none" w:sz="0" w:space="0" w:color="auto"/>
        <w:left w:val="none" w:sz="0" w:space="0" w:color="auto"/>
        <w:bottom w:val="none" w:sz="0" w:space="0" w:color="auto"/>
        <w:right w:val="none" w:sz="0" w:space="0" w:color="auto"/>
      </w:divBdr>
    </w:div>
    <w:div w:id="1210991945">
      <w:bodyDiv w:val="1"/>
      <w:marLeft w:val="0"/>
      <w:marRight w:val="0"/>
      <w:marTop w:val="0"/>
      <w:marBottom w:val="0"/>
      <w:divBdr>
        <w:top w:val="none" w:sz="0" w:space="0" w:color="auto"/>
        <w:left w:val="none" w:sz="0" w:space="0" w:color="auto"/>
        <w:bottom w:val="none" w:sz="0" w:space="0" w:color="auto"/>
        <w:right w:val="none" w:sz="0" w:space="0" w:color="auto"/>
      </w:divBdr>
    </w:div>
    <w:div w:id="1337808660">
      <w:bodyDiv w:val="1"/>
      <w:marLeft w:val="0"/>
      <w:marRight w:val="0"/>
      <w:marTop w:val="0"/>
      <w:marBottom w:val="0"/>
      <w:divBdr>
        <w:top w:val="none" w:sz="0" w:space="0" w:color="auto"/>
        <w:left w:val="none" w:sz="0" w:space="0" w:color="auto"/>
        <w:bottom w:val="none" w:sz="0" w:space="0" w:color="auto"/>
        <w:right w:val="none" w:sz="0" w:space="0" w:color="auto"/>
      </w:divBdr>
      <w:divsChild>
        <w:div w:id="1377000807">
          <w:marLeft w:val="0"/>
          <w:marRight w:val="0"/>
          <w:marTop w:val="0"/>
          <w:marBottom w:val="0"/>
          <w:divBdr>
            <w:top w:val="none" w:sz="0" w:space="0" w:color="auto"/>
            <w:left w:val="none" w:sz="0" w:space="0" w:color="auto"/>
            <w:bottom w:val="none" w:sz="0" w:space="0" w:color="auto"/>
            <w:right w:val="none" w:sz="0" w:space="0" w:color="auto"/>
          </w:divBdr>
        </w:div>
      </w:divsChild>
    </w:div>
    <w:div w:id="1393655153">
      <w:bodyDiv w:val="1"/>
      <w:marLeft w:val="0"/>
      <w:marRight w:val="0"/>
      <w:marTop w:val="0"/>
      <w:marBottom w:val="0"/>
      <w:divBdr>
        <w:top w:val="none" w:sz="0" w:space="0" w:color="auto"/>
        <w:left w:val="none" w:sz="0" w:space="0" w:color="auto"/>
        <w:bottom w:val="none" w:sz="0" w:space="0" w:color="auto"/>
        <w:right w:val="none" w:sz="0" w:space="0" w:color="auto"/>
      </w:divBdr>
      <w:divsChild>
        <w:div w:id="66608914">
          <w:marLeft w:val="0"/>
          <w:marRight w:val="0"/>
          <w:marTop w:val="0"/>
          <w:marBottom w:val="0"/>
          <w:divBdr>
            <w:top w:val="none" w:sz="0" w:space="0" w:color="auto"/>
            <w:left w:val="none" w:sz="0" w:space="0" w:color="auto"/>
            <w:bottom w:val="none" w:sz="0" w:space="0" w:color="auto"/>
            <w:right w:val="none" w:sz="0" w:space="0" w:color="auto"/>
          </w:divBdr>
        </w:div>
      </w:divsChild>
    </w:div>
    <w:div w:id="1469468446">
      <w:bodyDiv w:val="1"/>
      <w:marLeft w:val="0"/>
      <w:marRight w:val="0"/>
      <w:marTop w:val="0"/>
      <w:marBottom w:val="0"/>
      <w:divBdr>
        <w:top w:val="none" w:sz="0" w:space="0" w:color="auto"/>
        <w:left w:val="none" w:sz="0" w:space="0" w:color="auto"/>
        <w:bottom w:val="none" w:sz="0" w:space="0" w:color="auto"/>
        <w:right w:val="none" w:sz="0" w:space="0" w:color="auto"/>
      </w:divBdr>
    </w:div>
    <w:div w:id="1491095205">
      <w:bodyDiv w:val="1"/>
      <w:marLeft w:val="0"/>
      <w:marRight w:val="0"/>
      <w:marTop w:val="0"/>
      <w:marBottom w:val="0"/>
      <w:divBdr>
        <w:top w:val="none" w:sz="0" w:space="0" w:color="auto"/>
        <w:left w:val="none" w:sz="0" w:space="0" w:color="auto"/>
        <w:bottom w:val="none" w:sz="0" w:space="0" w:color="auto"/>
        <w:right w:val="none" w:sz="0" w:space="0" w:color="auto"/>
      </w:divBdr>
      <w:divsChild>
        <w:div w:id="378748397">
          <w:marLeft w:val="0"/>
          <w:marRight w:val="0"/>
          <w:marTop w:val="0"/>
          <w:marBottom w:val="0"/>
          <w:divBdr>
            <w:top w:val="none" w:sz="0" w:space="0" w:color="auto"/>
            <w:left w:val="none" w:sz="0" w:space="0" w:color="auto"/>
            <w:bottom w:val="none" w:sz="0" w:space="0" w:color="auto"/>
            <w:right w:val="none" w:sz="0" w:space="0" w:color="auto"/>
          </w:divBdr>
        </w:div>
      </w:divsChild>
    </w:div>
    <w:div w:id="1581064292">
      <w:bodyDiv w:val="1"/>
      <w:marLeft w:val="0"/>
      <w:marRight w:val="0"/>
      <w:marTop w:val="0"/>
      <w:marBottom w:val="0"/>
      <w:divBdr>
        <w:top w:val="none" w:sz="0" w:space="0" w:color="auto"/>
        <w:left w:val="none" w:sz="0" w:space="0" w:color="auto"/>
        <w:bottom w:val="none" w:sz="0" w:space="0" w:color="auto"/>
        <w:right w:val="none" w:sz="0" w:space="0" w:color="auto"/>
      </w:divBdr>
      <w:divsChild>
        <w:div w:id="2024091170">
          <w:marLeft w:val="0"/>
          <w:marRight w:val="0"/>
          <w:marTop w:val="0"/>
          <w:marBottom w:val="0"/>
          <w:divBdr>
            <w:top w:val="none" w:sz="0" w:space="0" w:color="auto"/>
            <w:left w:val="none" w:sz="0" w:space="0" w:color="auto"/>
            <w:bottom w:val="none" w:sz="0" w:space="0" w:color="auto"/>
            <w:right w:val="none" w:sz="0" w:space="0" w:color="auto"/>
          </w:divBdr>
        </w:div>
      </w:divsChild>
    </w:div>
    <w:div w:id="1602181359">
      <w:bodyDiv w:val="1"/>
      <w:marLeft w:val="0"/>
      <w:marRight w:val="0"/>
      <w:marTop w:val="0"/>
      <w:marBottom w:val="0"/>
      <w:divBdr>
        <w:top w:val="none" w:sz="0" w:space="0" w:color="auto"/>
        <w:left w:val="none" w:sz="0" w:space="0" w:color="auto"/>
        <w:bottom w:val="none" w:sz="0" w:space="0" w:color="auto"/>
        <w:right w:val="none" w:sz="0" w:space="0" w:color="auto"/>
      </w:divBdr>
    </w:div>
    <w:div w:id="1620606348">
      <w:bodyDiv w:val="1"/>
      <w:marLeft w:val="0"/>
      <w:marRight w:val="0"/>
      <w:marTop w:val="0"/>
      <w:marBottom w:val="0"/>
      <w:divBdr>
        <w:top w:val="none" w:sz="0" w:space="0" w:color="auto"/>
        <w:left w:val="none" w:sz="0" w:space="0" w:color="auto"/>
        <w:bottom w:val="none" w:sz="0" w:space="0" w:color="auto"/>
        <w:right w:val="none" w:sz="0" w:space="0" w:color="auto"/>
      </w:divBdr>
      <w:divsChild>
        <w:div w:id="1728533809">
          <w:marLeft w:val="0"/>
          <w:marRight w:val="0"/>
          <w:marTop w:val="0"/>
          <w:marBottom w:val="0"/>
          <w:divBdr>
            <w:top w:val="none" w:sz="0" w:space="0" w:color="auto"/>
            <w:left w:val="none" w:sz="0" w:space="0" w:color="auto"/>
            <w:bottom w:val="none" w:sz="0" w:space="0" w:color="auto"/>
            <w:right w:val="none" w:sz="0" w:space="0" w:color="auto"/>
          </w:divBdr>
        </w:div>
      </w:divsChild>
    </w:div>
    <w:div w:id="1624381004">
      <w:bodyDiv w:val="1"/>
      <w:marLeft w:val="0"/>
      <w:marRight w:val="0"/>
      <w:marTop w:val="0"/>
      <w:marBottom w:val="0"/>
      <w:divBdr>
        <w:top w:val="none" w:sz="0" w:space="0" w:color="auto"/>
        <w:left w:val="none" w:sz="0" w:space="0" w:color="auto"/>
        <w:bottom w:val="none" w:sz="0" w:space="0" w:color="auto"/>
        <w:right w:val="none" w:sz="0" w:space="0" w:color="auto"/>
      </w:divBdr>
      <w:divsChild>
        <w:div w:id="456532356">
          <w:marLeft w:val="0"/>
          <w:marRight w:val="0"/>
          <w:marTop w:val="0"/>
          <w:marBottom w:val="0"/>
          <w:divBdr>
            <w:top w:val="none" w:sz="0" w:space="0" w:color="auto"/>
            <w:left w:val="none" w:sz="0" w:space="0" w:color="auto"/>
            <w:bottom w:val="none" w:sz="0" w:space="0" w:color="auto"/>
            <w:right w:val="none" w:sz="0" w:space="0" w:color="auto"/>
          </w:divBdr>
        </w:div>
      </w:divsChild>
    </w:div>
    <w:div w:id="1742291875">
      <w:bodyDiv w:val="1"/>
      <w:marLeft w:val="0"/>
      <w:marRight w:val="0"/>
      <w:marTop w:val="0"/>
      <w:marBottom w:val="0"/>
      <w:divBdr>
        <w:top w:val="none" w:sz="0" w:space="0" w:color="auto"/>
        <w:left w:val="none" w:sz="0" w:space="0" w:color="auto"/>
        <w:bottom w:val="none" w:sz="0" w:space="0" w:color="auto"/>
        <w:right w:val="none" w:sz="0" w:space="0" w:color="auto"/>
      </w:divBdr>
      <w:divsChild>
        <w:div w:id="1391032014">
          <w:marLeft w:val="0"/>
          <w:marRight w:val="0"/>
          <w:marTop w:val="0"/>
          <w:marBottom w:val="0"/>
          <w:divBdr>
            <w:top w:val="none" w:sz="0" w:space="0" w:color="auto"/>
            <w:left w:val="none" w:sz="0" w:space="0" w:color="auto"/>
            <w:bottom w:val="none" w:sz="0" w:space="0" w:color="auto"/>
            <w:right w:val="none" w:sz="0" w:space="0" w:color="auto"/>
          </w:divBdr>
        </w:div>
      </w:divsChild>
    </w:div>
    <w:div w:id="1894197146">
      <w:bodyDiv w:val="1"/>
      <w:marLeft w:val="0"/>
      <w:marRight w:val="0"/>
      <w:marTop w:val="0"/>
      <w:marBottom w:val="0"/>
      <w:divBdr>
        <w:top w:val="none" w:sz="0" w:space="0" w:color="auto"/>
        <w:left w:val="none" w:sz="0" w:space="0" w:color="auto"/>
        <w:bottom w:val="none" w:sz="0" w:space="0" w:color="auto"/>
        <w:right w:val="none" w:sz="0" w:space="0" w:color="auto"/>
      </w:divBdr>
    </w:div>
    <w:div w:id="2104061989">
      <w:bodyDiv w:val="1"/>
      <w:marLeft w:val="0"/>
      <w:marRight w:val="0"/>
      <w:marTop w:val="0"/>
      <w:marBottom w:val="0"/>
      <w:divBdr>
        <w:top w:val="none" w:sz="0" w:space="0" w:color="auto"/>
        <w:left w:val="none" w:sz="0" w:space="0" w:color="auto"/>
        <w:bottom w:val="none" w:sz="0" w:space="0" w:color="auto"/>
        <w:right w:val="none" w:sz="0" w:space="0" w:color="auto"/>
      </w:divBdr>
      <w:divsChild>
        <w:div w:id="45108263">
          <w:marLeft w:val="0"/>
          <w:marRight w:val="0"/>
          <w:marTop w:val="0"/>
          <w:marBottom w:val="0"/>
          <w:divBdr>
            <w:top w:val="none" w:sz="0" w:space="0" w:color="auto"/>
            <w:left w:val="none" w:sz="0" w:space="0" w:color="auto"/>
            <w:bottom w:val="none" w:sz="0" w:space="0" w:color="auto"/>
            <w:right w:val="none" w:sz="0" w:space="0" w:color="auto"/>
          </w:divBdr>
          <w:divsChild>
            <w:div w:id="981889532">
              <w:marLeft w:val="0"/>
              <w:marRight w:val="0"/>
              <w:marTop w:val="0"/>
              <w:marBottom w:val="0"/>
              <w:divBdr>
                <w:top w:val="none" w:sz="0" w:space="0" w:color="auto"/>
                <w:left w:val="none" w:sz="0" w:space="0" w:color="auto"/>
                <w:bottom w:val="none" w:sz="0" w:space="0" w:color="auto"/>
                <w:right w:val="none" w:sz="0" w:space="0" w:color="auto"/>
              </w:divBdr>
            </w:div>
          </w:divsChild>
        </w:div>
        <w:div w:id="59596494">
          <w:marLeft w:val="0"/>
          <w:marRight w:val="0"/>
          <w:marTop w:val="0"/>
          <w:marBottom w:val="0"/>
          <w:divBdr>
            <w:top w:val="none" w:sz="0" w:space="0" w:color="auto"/>
            <w:left w:val="none" w:sz="0" w:space="0" w:color="auto"/>
            <w:bottom w:val="none" w:sz="0" w:space="0" w:color="auto"/>
            <w:right w:val="none" w:sz="0" w:space="0" w:color="auto"/>
          </w:divBdr>
          <w:divsChild>
            <w:div w:id="1884977237">
              <w:marLeft w:val="0"/>
              <w:marRight w:val="0"/>
              <w:marTop w:val="0"/>
              <w:marBottom w:val="0"/>
              <w:divBdr>
                <w:top w:val="none" w:sz="0" w:space="0" w:color="auto"/>
                <w:left w:val="none" w:sz="0" w:space="0" w:color="auto"/>
                <w:bottom w:val="none" w:sz="0" w:space="0" w:color="auto"/>
                <w:right w:val="none" w:sz="0" w:space="0" w:color="auto"/>
              </w:divBdr>
            </w:div>
          </w:divsChild>
        </w:div>
        <w:div w:id="168760973">
          <w:marLeft w:val="0"/>
          <w:marRight w:val="0"/>
          <w:marTop w:val="0"/>
          <w:marBottom w:val="0"/>
          <w:divBdr>
            <w:top w:val="none" w:sz="0" w:space="0" w:color="auto"/>
            <w:left w:val="none" w:sz="0" w:space="0" w:color="auto"/>
            <w:bottom w:val="none" w:sz="0" w:space="0" w:color="auto"/>
            <w:right w:val="none" w:sz="0" w:space="0" w:color="auto"/>
          </w:divBdr>
          <w:divsChild>
            <w:div w:id="973027162">
              <w:marLeft w:val="0"/>
              <w:marRight w:val="0"/>
              <w:marTop w:val="0"/>
              <w:marBottom w:val="0"/>
              <w:divBdr>
                <w:top w:val="none" w:sz="0" w:space="0" w:color="auto"/>
                <w:left w:val="none" w:sz="0" w:space="0" w:color="auto"/>
                <w:bottom w:val="none" w:sz="0" w:space="0" w:color="auto"/>
                <w:right w:val="none" w:sz="0" w:space="0" w:color="auto"/>
              </w:divBdr>
            </w:div>
          </w:divsChild>
        </w:div>
        <w:div w:id="208078717">
          <w:marLeft w:val="0"/>
          <w:marRight w:val="0"/>
          <w:marTop w:val="0"/>
          <w:marBottom w:val="0"/>
          <w:divBdr>
            <w:top w:val="none" w:sz="0" w:space="0" w:color="auto"/>
            <w:left w:val="none" w:sz="0" w:space="0" w:color="auto"/>
            <w:bottom w:val="none" w:sz="0" w:space="0" w:color="auto"/>
            <w:right w:val="none" w:sz="0" w:space="0" w:color="auto"/>
          </w:divBdr>
          <w:divsChild>
            <w:div w:id="1231036705">
              <w:marLeft w:val="0"/>
              <w:marRight w:val="0"/>
              <w:marTop w:val="0"/>
              <w:marBottom w:val="0"/>
              <w:divBdr>
                <w:top w:val="none" w:sz="0" w:space="0" w:color="auto"/>
                <w:left w:val="none" w:sz="0" w:space="0" w:color="auto"/>
                <w:bottom w:val="none" w:sz="0" w:space="0" w:color="auto"/>
                <w:right w:val="none" w:sz="0" w:space="0" w:color="auto"/>
              </w:divBdr>
            </w:div>
          </w:divsChild>
        </w:div>
        <w:div w:id="212272919">
          <w:marLeft w:val="0"/>
          <w:marRight w:val="0"/>
          <w:marTop w:val="0"/>
          <w:marBottom w:val="0"/>
          <w:divBdr>
            <w:top w:val="none" w:sz="0" w:space="0" w:color="auto"/>
            <w:left w:val="none" w:sz="0" w:space="0" w:color="auto"/>
            <w:bottom w:val="none" w:sz="0" w:space="0" w:color="auto"/>
            <w:right w:val="none" w:sz="0" w:space="0" w:color="auto"/>
          </w:divBdr>
          <w:divsChild>
            <w:div w:id="1622494147">
              <w:marLeft w:val="0"/>
              <w:marRight w:val="0"/>
              <w:marTop w:val="0"/>
              <w:marBottom w:val="0"/>
              <w:divBdr>
                <w:top w:val="none" w:sz="0" w:space="0" w:color="auto"/>
                <w:left w:val="none" w:sz="0" w:space="0" w:color="auto"/>
                <w:bottom w:val="none" w:sz="0" w:space="0" w:color="auto"/>
                <w:right w:val="none" w:sz="0" w:space="0" w:color="auto"/>
              </w:divBdr>
            </w:div>
          </w:divsChild>
        </w:div>
        <w:div w:id="511338225">
          <w:marLeft w:val="0"/>
          <w:marRight w:val="0"/>
          <w:marTop w:val="0"/>
          <w:marBottom w:val="0"/>
          <w:divBdr>
            <w:top w:val="none" w:sz="0" w:space="0" w:color="auto"/>
            <w:left w:val="none" w:sz="0" w:space="0" w:color="auto"/>
            <w:bottom w:val="none" w:sz="0" w:space="0" w:color="auto"/>
            <w:right w:val="none" w:sz="0" w:space="0" w:color="auto"/>
          </w:divBdr>
          <w:divsChild>
            <w:div w:id="805128171">
              <w:marLeft w:val="0"/>
              <w:marRight w:val="0"/>
              <w:marTop w:val="0"/>
              <w:marBottom w:val="0"/>
              <w:divBdr>
                <w:top w:val="none" w:sz="0" w:space="0" w:color="auto"/>
                <w:left w:val="none" w:sz="0" w:space="0" w:color="auto"/>
                <w:bottom w:val="none" w:sz="0" w:space="0" w:color="auto"/>
                <w:right w:val="none" w:sz="0" w:space="0" w:color="auto"/>
              </w:divBdr>
            </w:div>
          </w:divsChild>
        </w:div>
        <w:div w:id="529295325">
          <w:marLeft w:val="0"/>
          <w:marRight w:val="0"/>
          <w:marTop w:val="0"/>
          <w:marBottom w:val="0"/>
          <w:divBdr>
            <w:top w:val="none" w:sz="0" w:space="0" w:color="auto"/>
            <w:left w:val="none" w:sz="0" w:space="0" w:color="auto"/>
            <w:bottom w:val="none" w:sz="0" w:space="0" w:color="auto"/>
            <w:right w:val="none" w:sz="0" w:space="0" w:color="auto"/>
          </w:divBdr>
          <w:divsChild>
            <w:div w:id="611942323">
              <w:marLeft w:val="0"/>
              <w:marRight w:val="0"/>
              <w:marTop w:val="0"/>
              <w:marBottom w:val="0"/>
              <w:divBdr>
                <w:top w:val="none" w:sz="0" w:space="0" w:color="auto"/>
                <w:left w:val="none" w:sz="0" w:space="0" w:color="auto"/>
                <w:bottom w:val="none" w:sz="0" w:space="0" w:color="auto"/>
                <w:right w:val="none" w:sz="0" w:space="0" w:color="auto"/>
              </w:divBdr>
            </w:div>
          </w:divsChild>
        </w:div>
        <w:div w:id="632757964">
          <w:marLeft w:val="0"/>
          <w:marRight w:val="0"/>
          <w:marTop w:val="0"/>
          <w:marBottom w:val="0"/>
          <w:divBdr>
            <w:top w:val="none" w:sz="0" w:space="0" w:color="auto"/>
            <w:left w:val="none" w:sz="0" w:space="0" w:color="auto"/>
            <w:bottom w:val="none" w:sz="0" w:space="0" w:color="auto"/>
            <w:right w:val="none" w:sz="0" w:space="0" w:color="auto"/>
          </w:divBdr>
          <w:divsChild>
            <w:div w:id="1610090341">
              <w:marLeft w:val="0"/>
              <w:marRight w:val="0"/>
              <w:marTop w:val="0"/>
              <w:marBottom w:val="0"/>
              <w:divBdr>
                <w:top w:val="none" w:sz="0" w:space="0" w:color="auto"/>
                <w:left w:val="none" w:sz="0" w:space="0" w:color="auto"/>
                <w:bottom w:val="none" w:sz="0" w:space="0" w:color="auto"/>
                <w:right w:val="none" w:sz="0" w:space="0" w:color="auto"/>
              </w:divBdr>
            </w:div>
          </w:divsChild>
        </w:div>
        <w:div w:id="669406706">
          <w:marLeft w:val="0"/>
          <w:marRight w:val="0"/>
          <w:marTop w:val="0"/>
          <w:marBottom w:val="0"/>
          <w:divBdr>
            <w:top w:val="none" w:sz="0" w:space="0" w:color="auto"/>
            <w:left w:val="none" w:sz="0" w:space="0" w:color="auto"/>
            <w:bottom w:val="none" w:sz="0" w:space="0" w:color="auto"/>
            <w:right w:val="none" w:sz="0" w:space="0" w:color="auto"/>
          </w:divBdr>
          <w:divsChild>
            <w:div w:id="1162047470">
              <w:marLeft w:val="0"/>
              <w:marRight w:val="0"/>
              <w:marTop w:val="0"/>
              <w:marBottom w:val="0"/>
              <w:divBdr>
                <w:top w:val="none" w:sz="0" w:space="0" w:color="auto"/>
                <w:left w:val="none" w:sz="0" w:space="0" w:color="auto"/>
                <w:bottom w:val="none" w:sz="0" w:space="0" w:color="auto"/>
                <w:right w:val="none" w:sz="0" w:space="0" w:color="auto"/>
              </w:divBdr>
            </w:div>
          </w:divsChild>
        </w:div>
        <w:div w:id="718169670">
          <w:marLeft w:val="0"/>
          <w:marRight w:val="0"/>
          <w:marTop w:val="0"/>
          <w:marBottom w:val="0"/>
          <w:divBdr>
            <w:top w:val="none" w:sz="0" w:space="0" w:color="auto"/>
            <w:left w:val="none" w:sz="0" w:space="0" w:color="auto"/>
            <w:bottom w:val="none" w:sz="0" w:space="0" w:color="auto"/>
            <w:right w:val="none" w:sz="0" w:space="0" w:color="auto"/>
          </w:divBdr>
          <w:divsChild>
            <w:div w:id="218171897">
              <w:marLeft w:val="0"/>
              <w:marRight w:val="0"/>
              <w:marTop w:val="0"/>
              <w:marBottom w:val="0"/>
              <w:divBdr>
                <w:top w:val="none" w:sz="0" w:space="0" w:color="auto"/>
                <w:left w:val="none" w:sz="0" w:space="0" w:color="auto"/>
                <w:bottom w:val="none" w:sz="0" w:space="0" w:color="auto"/>
                <w:right w:val="none" w:sz="0" w:space="0" w:color="auto"/>
              </w:divBdr>
            </w:div>
          </w:divsChild>
        </w:div>
        <w:div w:id="902452032">
          <w:marLeft w:val="0"/>
          <w:marRight w:val="0"/>
          <w:marTop w:val="0"/>
          <w:marBottom w:val="0"/>
          <w:divBdr>
            <w:top w:val="none" w:sz="0" w:space="0" w:color="auto"/>
            <w:left w:val="none" w:sz="0" w:space="0" w:color="auto"/>
            <w:bottom w:val="none" w:sz="0" w:space="0" w:color="auto"/>
            <w:right w:val="none" w:sz="0" w:space="0" w:color="auto"/>
          </w:divBdr>
          <w:divsChild>
            <w:div w:id="1557081483">
              <w:marLeft w:val="0"/>
              <w:marRight w:val="0"/>
              <w:marTop w:val="0"/>
              <w:marBottom w:val="0"/>
              <w:divBdr>
                <w:top w:val="none" w:sz="0" w:space="0" w:color="auto"/>
                <w:left w:val="none" w:sz="0" w:space="0" w:color="auto"/>
                <w:bottom w:val="none" w:sz="0" w:space="0" w:color="auto"/>
                <w:right w:val="none" w:sz="0" w:space="0" w:color="auto"/>
              </w:divBdr>
            </w:div>
          </w:divsChild>
        </w:div>
        <w:div w:id="907768957">
          <w:marLeft w:val="0"/>
          <w:marRight w:val="0"/>
          <w:marTop w:val="0"/>
          <w:marBottom w:val="0"/>
          <w:divBdr>
            <w:top w:val="none" w:sz="0" w:space="0" w:color="auto"/>
            <w:left w:val="none" w:sz="0" w:space="0" w:color="auto"/>
            <w:bottom w:val="none" w:sz="0" w:space="0" w:color="auto"/>
            <w:right w:val="none" w:sz="0" w:space="0" w:color="auto"/>
          </w:divBdr>
          <w:divsChild>
            <w:div w:id="1441531839">
              <w:marLeft w:val="0"/>
              <w:marRight w:val="0"/>
              <w:marTop w:val="0"/>
              <w:marBottom w:val="0"/>
              <w:divBdr>
                <w:top w:val="none" w:sz="0" w:space="0" w:color="auto"/>
                <w:left w:val="none" w:sz="0" w:space="0" w:color="auto"/>
                <w:bottom w:val="none" w:sz="0" w:space="0" w:color="auto"/>
                <w:right w:val="none" w:sz="0" w:space="0" w:color="auto"/>
              </w:divBdr>
            </w:div>
          </w:divsChild>
        </w:div>
        <w:div w:id="921262398">
          <w:marLeft w:val="0"/>
          <w:marRight w:val="0"/>
          <w:marTop w:val="0"/>
          <w:marBottom w:val="0"/>
          <w:divBdr>
            <w:top w:val="none" w:sz="0" w:space="0" w:color="auto"/>
            <w:left w:val="none" w:sz="0" w:space="0" w:color="auto"/>
            <w:bottom w:val="none" w:sz="0" w:space="0" w:color="auto"/>
            <w:right w:val="none" w:sz="0" w:space="0" w:color="auto"/>
          </w:divBdr>
          <w:divsChild>
            <w:div w:id="1321957456">
              <w:marLeft w:val="0"/>
              <w:marRight w:val="0"/>
              <w:marTop w:val="0"/>
              <w:marBottom w:val="0"/>
              <w:divBdr>
                <w:top w:val="none" w:sz="0" w:space="0" w:color="auto"/>
                <w:left w:val="none" w:sz="0" w:space="0" w:color="auto"/>
                <w:bottom w:val="none" w:sz="0" w:space="0" w:color="auto"/>
                <w:right w:val="none" w:sz="0" w:space="0" w:color="auto"/>
              </w:divBdr>
            </w:div>
          </w:divsChild>
        </w:div>
        <w:div w:id="933519200">
          <w:marLeft w:val="0"/>
          <w:marRight w:val="0"/>
          <w:marTop w:val="0"/>
          <w:marBottom w:val="0"/>
          <w:divBdr>
            <w:top w:val="none" w:sz="0" w:space="0" w:color="auto"/>
            <w:left w:val="none" w:sz="0" w:space="0" w:color="auto"/>
            <w:bottom w:val="none" w:sz="0" w:space="0" w:color="auto"/>
            <w:right w:val="none" w:sz="0" w:space="0" w:color="auto"/>
          </w:divBdr>
          <w:divsChild>
            <w:div w:id="412356590">
              <w:marLeft w:val="0"/>
              <w:marRight w:val="0"/>
              <w:marTop w:val="0"/>
              <w:marBottom w:val="0"/>
              <w:divBdr>
                <w:top w:val="none" w:sz="0" w:space="0" w:color="auto"/>
                <w:left w:val="none" w:sz="0" w:space="0" w:color="auto"/>
                <w:bottom w:val="none" w:sz="0" w:space="0" w:color="auto"/>
                <w:right w:val="none" w:sz="0" w:space="0" w:color="auto"/>
              </w:divBdr>
            </w:div>
          </w:divsChild>
        </w:div>
        <w:div w:id="983315240">
          <w:marLeft w:val="0"/>
          <w:marRight w:val="0"/>
          <w:marTop w:val="0"/>
          <w:marBottom w:val="0"/>
          <w:divBdr>
            <w:top w:val="none" w:sz="0" w:space="0" w:color="auto"/>
            <w:left w:val="none" w:sz="0" w:space="0" w:color="auto"/>
            <w:bottom w:val="none" w:sz="0" w:space="0" w:color="auto"/>
            <w:right w:val="none" w:sz="0" w:space="0" w:color="auto"/>
          </w:divBdr>
          <w:divsChild>
            <w:div w:id="311562746">
              <w:marLeft w:val="0"/>
              <w:marRight w:val="0"/>
              <w:marTop w:val="0"/>
              <w:marBottom w:val="0"/>
              <w:divBdr>
                <w:top w:val="none" w:sz="0" w:space="0" w:color="auto"/>
                <w:left w:val="none" w:sz="0" w:space="0" w:color="auto"/>
                <w:bottom w:val="none" w:sz="0" w:space="0" w:color="auto"/>
                <w:right w:val="none" w:sz="0" w:space="0" w:color="auto"/>
              </w:divBdr>
            </w:div>
          </w:divsChild>
        </w:div>
        <w:div w:id="1136097134">
          <w:marLeft w:val="0"/>
          <w:marRight w:val="0"/>
          <w:marTop w:val="0"/>
          <w:marBottom w:val="0"/>
          <w:divBdr>
            <w:top w:val="none" w:sz="0" w:space="0" w:color="auto"/>
            <w:left w:val="none" w:sz="0" w:space="0" w:color="auto"/>
            <w:bottom w:val="none" w:sz="0" w:space="0" w:color="auto"/>
            <w:right w:val="none" w:sz="0" w:space="0" w:color="auto"/>
          </w:divBdr>
          <w:divsChild>
            <w:div w:id="1168600380">
              <w:marLeft w:val="0"/>
              <w:marRight w:val="0"/>
              <w:marTop w:val="0"/>
              <w:marBottom w:val="0"/>
              <w:divBdr>
                <w:top w:val="none" w:sz="0" w:space="0" w:color="auto"/>
                <w:left w:val="none" w:sz="0" w:space="0" w:color="auto"/>
                <w:bottom w:val="none" w:sz="0" w:space="0" w:color="auto"/>
                <w:right w:val="none" w:sz="0" w:space="0" w:color="auto"/>
              </w:divBdr>
            </w:div>
          </w:divsChild>
        </w:div>
        <w:div w:id="1229849091">
          <w:marLeft w:val="0"/>
          <w:marRight w:val="0"/>
          <w:marTop w:val="0"/>
          <w:marBottom w:val="0"/>
          <w:divBdr>
            <w:top w:val="none" w:sz="0" w:space="0" w:color="auto"/>
            <w:left w:val="none" w:sz="0" w:space="0" w:color="auto"/>
            <w:bottom w:val="none" w:sz="0" w:space="0" w:color="auto"/>
            <w:right w:val="none" w:sz="0" w:space="0" w:color="auto"/>
          </w:divBdr>
          <w:divsChild>
            <w:div w:id="468598637">
              <w:marLeft w:val="0"/>
              <w:marRight w:val="0"/>
              <w:marTop w:val="0"/>
              <w:marBottom w:val="0"/>
              <w:divBdr>
                <w:top w:val="none" w:sz="0" w:space="0" w:color="auto"/>
                <w:left w:val="none" w:sz="0" w:space="0" w:color="auto"/>
                <w:bottom w:val="none" w:sz="0" w:space="0" w:color="auto"/>
                <w:right w:val="none" w:sz="0" w:space="0" w:color="auto"/>
              </w:divBdr>
            </w:div>
          </w:divsChild>
        </w:div>
        <w:div w:id="1337609854">
          <w:marLeft w:val="0"/>
          <w:marRight w:val="0"/>
          <w:marTop w:val="0"/>
          <w:marBottom w:val="0"/>
          <w:divBdr>
            <w:top w:val="none" w:sz="0" w:space="0" w:color="auto"/>
            <w:left w:val="none" w:sz="0" w:space="0" w:color="auto"/>
            <w:bottom w:val="none" w:sz="0" w:space="0" w:color="auto"/>
            <w:right w:val="none" w:sz="0" w:space="0" w:color="auto"/>
          </w:divBdr>
          <w:divsChild>
            <w:div w:id="1472946145">
              <w:marLeft w:val="0"/>
              <w:marRight w:val="0"/>
              <w:marTop w:val="0"/>
              <w:marBottom w:val="0"/>
              <w:divBdr>
                <w:top w:val="none" w:sz="0" w:space="0" w:color="auto"/>
                <w:left w:val="none" w:sz="0" w:space="0" w:color="auto"/>
                <w:bottom w:val="none" w:sz="0" w:space="0" w:color="auto"/>
                <w:right w:val="none" w:sz="0" w:space="0" w:color="auto"/>
              </w:divBdr>
            </w:div>
          </w:divsChild>
        </w:div>
        <w:div w:id="1363434648">
          <w:marLeft w:val="0"/>
          <w:marRight w:val="0"/>
          <w:marTop w:val="0"/>
          <w:marBottom w:val="0"/>
          <w:divBdr>
            <w:top w:val="none" w:sz="0" w:space="0" w:color="auto"/>
            <w:left w:val="none" w:sz="0" w:space="0" w:color="auto"/>
            <w:bottom w:val="none" w:sz="0" w:space="0" w:color="auto"/>
            <w:right w:val="none" w:sz="0" w:space="0" w:color="auto"/>
          </w:divBdr>
          <w:divsChild>
            <w:div w:id="1078331461">
              <w:marLeft w:val="0"/>
              <w:marRight w:val="0"/>
              <w:marTop w:val="0"/>
              <w:marBottom w:val="0"/>
              <w:divBdr>
                <w:top w:val="none" w:sz="0" w:space="0" w:color="auto"/>
                <w:left w:val="none" w:sz="0" w:space="0" w:color="auto"/>
                <w:bottom w:val="none" w:sz="0" w:space="0" w:color="auto"/>
                <w:right w:val="none" w:sz="0" w:space="0" w:color="auto"/>
              </w:divBdr>
            </w:div>
          </w:divsChild>
        </w:div>
        <w:div w:id="1371681596">
          <w:marLeft w:val="0"/>
          <w:marRight w:val="0"/>
          <w:marTop w:val="0"/>
          <w:marBottom w:val="0"/>
          <w:divBdr>
            <w:top w:val="none" w:sz="0" w:space="0" w:color="auto"/>
            <w:left w:val="none" w:sz="0" w:space="0" w:color="auto"/>
            <w:bottom w:val="none" w:sz="0" w:space="0" w:color="auto"/>
            <w:right w:val="none" w:sz="0" w:space="0" w:color="auto"/>
          </w:divBdr>
          <w:divsChild>
            <w:div w:id="310326695">
              <w:marLeft w:val="0"/>
              <w:marRight w:val="0"/>
              <w:marTop w:val="0"/>
              <w:marBottom w:val="0"/>
              <w:divBdr>
                <w:top w:val="none" w:sz="0" w:space="0" w:color="auto"/>
                <w:left w:val="none" w:sz="0" w:space="0" w:color="auto"/>
                <w:bottom w:val="none" w:sz="0" w:space="0" w:color="auto"/>
                <w:right w:val="none" w:sz="0" w:space="0" w:color="auto"/>
              </w:divBdr>
            </w:div>
          </w:divsChild>
        </w:div>
        <w:div w:id="1569418316">
          <w:marLeft w:val="0"/>
          <w:marRight w:val="0"/>
          <w:marTop w:val="0"/>
          <w:marBottom w:val="0"/>
          <w:divBdr>
            <w:top w:val="none" w:sz="0" w:space="0" w:color="auto"/>
            <w:left w:val="none" w:sz="0" w:space="0" w:color="auto"/>
            <w:bottom w:val="none" w:sz="0" w:space="0" w:color="auto"/>
            <w:right w:val="none" w:sz="0" w:space="0" w:color="auto"/>
          </w:divBdr>
          <w:divsChild>
            <w:div w:id="1044064541">
              <w:marLeft w:val="0"/>
              <w:marRight w:val="0"/>
              <w:marTop w:val="0"/>
              <w:marBottom w:val="0"/>
              <w:divBdr>
                <w:top w:val="none" w:sz="0" w:space="0" w:color="auto"/>
                <w:left w:val="none" w:sz="0" w:space="0" w:color="auto"/>
                <w:bottom w:val="none" w:sz="0" w:space="0" w:color="auto"/>
                <w:right w:val="none" w:sz="0" w:space="0" w:color="auto"/>
              </w:divBdr>
            </w:div>
          </w:divsChild>
        </w:div>
        <w:div w:id="1577280768">
          <w:marLeft w:val="0"/>
          <w:marRight w:val="0"/>
          <w:marTop w:val="0"/>
          <w:marBottom w:val="0"/>
          <w:divBdr>
            <w:top w:val="none" w:sz="0" w:space="0" w:color="auto"/>
            <w:left w:val="none" w:sz="0" w:space="0" w:color="auto"/>
            <w:bottom w:val="none" w:sz="0" w:space="0" w:color="auto"/>
            <w:right w:val="none" w:sz="0" w:space="0" w:color="auto"/>
          </w:divBdr>
          <w:divsChild>
            <w:div w:id="2061126090">
              <w:marLeft w:val="0"/>
              <w:marRight w:val="0"/>
              <w:marTop w:val="0"/>
              <w:marBottom w:val="0"/>
              <w:divBdr>
                <w:top w:val="none" w:sz="0" w:space="0" w:color="auto"/>
                <w:left w:val="none" w:sz="0" w:space="0" w:color="auto"/>
                <w:bottom w:val="none" w:sz="0" w:space="0" w:color="auto"/>
                <w:right w:val="none" w:sz="0" w:space="0" w:color="auto"/>
              </w:divBdr>
            </w:div>
          </w:divsChild>
        </w:div>
        <w:div w:id="1584071909">
          <w:marLeft w:val="0"/>
          <w:marRight w:val="0"/>
          <w:marTop w:val="0"/>
          <w:marBottom w:val="0"/>
          <w:divBdr>
            <w:top w:val="none" w:sz="0" w:space="0" w:color="auto"/>
            <w:left w:val="none" w:sz="0" w:space="0" w:color="auto"/>
            <w:bottom w:val="none" w:sz="0" w:space="0" w:color="auto"/>
            <w:right w:val="none" w:sz="0" w:space="0" w:color="auto"/>
          </w:divBdr>
          <w:divsChild>
            <w:div w:id="529999423">
              <w:marLeft w:val="0"/>
              <w:marRight w:val="0"/>
              <w:marTop w:val="0"/>
              <w:marBottom w:val="0"/>
              <w:divBdr>
                <w:top w:val="none" w:sz="0" w:space="0" w:color="auto"/>
                <w:left w:val="none" w:sz="0" w:space="0" w:color="auto"/>
                <w:bottom w:val="none" w:sz="0" w:space="0" w:color="auto"/>
                <w:right w:val="none" w:sz="0" w:space="0" w:color="auto"/>
              </w:divBdr>
            </w:div>
          </w:divsChild>
        </w:div>
        <w:div w:id="1634402823">
          <w:marLeft w:val="0"/>
          <w:marRight w:val="0"/>
          <w:marTop w:val="0"/>
          <w:marBottom w:val="0"/>
          <w:divBdr>
            <w:top w:val="none" w:sz="0" w:space="0" w:color="auto"/>
            <w:left w:val="none" w:sz="0" w:space="0" w:color="auto"/>
            <w:bottom w:val="none" w:sz="0" w:space="0" w:color="auto"/>
            <w:right w:val="none" w:sz="0" w:space="0" w:color="auto"/>
          </w:divBdr>
          <w:divsChild>
            <w:div w:id="850417209">
              <w:marLeft w:val="0"/>
              <w:marRight w:val="0"/>
              <w:marTop w:val="0"/>
              <w:marBottom w:val="0"/>
              <w:divBdr>
                <w:top w:val="none" w:sz="0" w:space="0" w:color="auto"/>
                <w:left w:val="none" w:sz="0" w:space="0" w:color="auto"/>
                <w:bottom w:val="none" w:sz="0" w:space="0" w:color="auto"/>
                <w:right w:val="none" w:sz="0" w:space="0" w:color="auto"/>
              </w:divBdr>
            </w:div>
          </w:divsChild>
        </w:div>
        <w:div w:id="1675451700">
          <w:marLeft w:val="0"/>
          <w:marRight w:val="0"/>
          <w:marTop w:val="0"/>
          <w:marBottom w:val="0"/>
          <w:divBdr>
            <w:top w:val="none" w:sz="0" w:space="0" w:color="auto"/>
            <w:left w:val="none" w:sz="0" w:space="0" w:color="auto"/>
            <w:bottom w:val="none" w:sz="0" w:space="0" w:color="auto"/>
            <w:right w:val="none" w:sz="0" w:space="0" w:color="auto"/>
          </w:divBdr>
          <w:divsChild>
            <w:div w:id="1150901307">
              <w:marLeft w:val="0"/>
              <w:marRight w:val="0"/>
              <w:marTop w:val="0"/>
              <w:marBottom w:val="0"/>
              <w:divBdr>
                <w:top w:val="none" w:sz="0" w:space="0" w:color="auto"/>
                <w:left w:val="none" w:sz="0" w:space="0" w:color="auto"/>
                <w:bottom w:val="none" w:sz="0" w:space="0" w:color="auto"/>
                <w:right w:val="none" w:sz="0" w:space="0" w:color="auto"/>
              </w:divBdr>
            </w:div>
          </w:divsChild>
        </w:div>
        <w:div w:id="1675645442">
          <w:marLeft w:val="0"/>
          <w:marRight w:val="0"/>
          <w:marTop w:val="0"/>
          <w:marBottom w:val="0"/>
          <w:divBdr>
            <w:top w:val="none" w:sz="0" w:space="0" w:color="auto"/>
            <w:left w:val="none" w:sz="0" w:space="0" w:color="auto"/>
            <w:bottom w:val="none" w:sz="0" w:space="0" w:color="auto"/>
            <w:right w:val="none" w:sz="0" w:space="0" w:color="auto"/>
          </w:divBdr>
          <w:divsChild>
            <w:div w:id="1273712224">
              <w:marLeft w:val="0"/>
              <w:marRight w:val="0"/>
              <w:marTop w:val="0"/>
              <w:marBottom w:val="0"/>
              <w:divBdr>
                <w:top w:val="none" w:sz="0" w:space="0" w:color="auto"/>
                <w:left w:val="none" w:sz="0" w:space="0" w:color="auto"/>
                <w:bottom w:val="none" w:sz="0" w:space="0" w:color="auto"/>
                <w:right w:val="none" w:sz="0" w:space="0" w:color="auto"/>
              </w:divBdr>
            </w:div>
          </w:divsChild>
        </w:div>
        <w:div w:id="1820263669">
          <w:marLeft w:val="0"/>
          <w:marRight w:val="0"/>
          <w:marTop w:val="0"/>
          <w:marBottom w:val="0"/>
          <w:divBdr>
            <w:top w:val="none" w:sz="0" w:space="0" w:color="auto"/>
            <w:left w:val="none" w:sz="0" w:space="0" w:color="auto"/>
            <w:bottom w:val="none" w:sz="0" w:space="0" w:color="auto"/>
            <w:right w:val="none" w:sz="0" w:space="0" w:color="auto"/>
          </w:divBdr>
          <w:divsChild>
            <w:div w:id="75328235">
              <w:marLeft w:val="0"/>
              <w:marRight w:val="0"/>
              <w:marTop w:val="0"/>
              <w:marBottom w:val="0"/>
              <w:divBdr>
                <w:top w:val="none" w:sz="0" w:space="0" w:color="auto"/>
                <w:left w:val="none" w:sz="0" w:space="0" w:color="auto"/>
                <w:bottom w:val="none" w:sz="0" w:space="0" w:color="auto"/>
                <w:right w:val="none" w:sz="0" w:space="0" w:color="auto"/>
              </w:divBdr>
            </w:div>
          </w:divsChild>
        </w:div>
        <w:div w:id="1882664728">
          <w:marLeft w:val="0"/>
          <w:marRight w:val="0"/>
          <w:marTop w:val="0"/>
          <w:marBottom w:val="0"/>
          <w:divBdr>
            <w:top w:val="none" w:sz="0" w:space="0" w:color="auto"/>
            <w:left w:val="none" w:sz="0" w:space="0" w:color="auto"/>
            <w:bottom w:val="none" w:sz="0" w:space="0" w:color="auto"/>
            <w:right w:val="none" w:sz="0" w:space="0" w:color="auto"/>
          </w:divBdr>
          <w:divsChild>
            <w:div w:id="1367174942">
              <w:marLeft w:val="0"/>
              <w:marRight w:val="0"/>
              <w:marTop w:val="0"/>
              <w:marBottom w:val="0"/>
              <w:divBdr>
                <w:top w:val="none" w:sz="0" w:space="0" w:color="auto"/>
                <w:left w:val="none" w:sz="0" w:space="0" w:color="auto"/>
                <w:bottom w:val="none" w:sz="0" w:space="0" w:color="auto"/>
                <w:right w:val="none" w:sz="0" w:space="0" w:color="auto"/>
              </w:divBdr>
            </w:div>
          </w:divsChild>
        </w:div>
        <w:div w:id="2051490922">
          <w:marLeft w:val="0"/>
          <w:marRight w:val="0"/>
          <w:marTop w:val="0"/>
          <w:marBottom w:val="0"/>
          <w:divBdr>
            <w:top w:val="none" w:sz="0" w:space="0" w:color="auto"/>
            <w:left w:val="none" w:sz="0" w:space="0" w:color="auto"/>
            <w:bottom w:val="none" w:sz="0" w:space="0" w:color="auto"/>
            <w:right w:val="none" w:sz="0" w:space="0" w:color="auto"/>
          </w:divBdr>
          <w:divsChild>
            <w:div w:id="1803881886">
              <w:marLeft w:val="0"/>
              <w:marRight w:val="0"/>
              <w:marTop w:val="0"/>
              <w:marBottom w:val="0"/>
              <w:divBdr>
                <w:top w:val="none" w:sz="0" w:space="0" w:color="auto"/>
                <w:left w:val="none" w:sz="0" w:space="0" w:color="auto"/>
                <w:bottom w:val="none" w:sz="0" w:space="0" w:color="auto"/>
                <w:right w:val="none" w:sz="0" w:space="0" w:color="auto"/>
              </w:divBdr>
            </w:div>
          </w:divsChild>
        </w:div>
        <w:div w:id="2094235226">
          <w:marLeft w:val="0"/>
          <w:marRight w:val="0"/>
          <w:marTop w:val="0"/>
          <w:marBottom w:val="0"/>
          <w:divBdr>
            <w:top w:val="none" w:sz="0" w:space="0" w:color="auto"/>
            <w:left w:val="none" w:sz="0" w:space="0" w:color="auto"/>
            <w:bottom w:val="none" w:sz="0" w:space="0" w:color="auto"/>
            <w:right w:val="none" w:sz="0" w:space="0" w:color="auto"/>
          </w:divBdr>
          <w:divsChild>
            <w:div w:id="10864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99e746-26f3-44a0-9b64-d6989343f03f">
      <Terms xmlns="http://schemas.microsoft.com/office/infopath/2007/PartnerControls"/>
    </lcf76f155ced4ddcb4097134ff3c332f>
    <TaxCatchAll xmlns="6277174b-3cca-4e0a-af50-078960ad72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5C47E99A5099C419ED6AF8F3F3AC331" ma:contentTypeVersion="16" ma:contentTypeDescription="Crear nuevo documento." ma:contentTypeScope="" ma:versionID="9f6818a77b96cf979936b7e854e6cf48">
  <xsd:schema xmlns:xsd="http://www.w3.org/2001/XMLSchema" xmlns:xs="http://www.w3.org/2001/XMLSchema" xmlns:p="http://schemas.microsoft.com/office/2006/metadata/properties" xmlns:ns2="4c99e746-26f3-44a0-9b64-d6989343f03f" xmlns:ns3="6277174b-3cca-4e0a-af50-078960ad7294" targetNamespace="http://schemas.microsoft.com/office/2006/metadata/properties" ma:root="true" ma:fieldsID="998a2915a0729bfb91f3fd51f94cb6b5" ns2:_="" ns3:_="">
    <xsd:import namespace="4c99e746-26f3-44a0-9b64-d6989343f03f"/>
    <xsd:import namespace="6277174b-3cca-4e0a-af50-078960ad72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9e746-26f3-44a0-9b64-d6989343f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71fffa1-dc51-4484-b8e4-8a1ae6df7e6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7174b-3cca-4e0a-af50-078960ad729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be717376-eb8a-4df3-b82a-f1d7a9dd7222}" ma:internalName="TaxCatchAll" ma:showField="CatchAllData" ma:web="6277174b-3cca-4e0a-af50-078960ad7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658E0-C197-4D58-9447-53379792840D}">
  <ds:schemaRefs>
    <ds:schemaRef ds:uri="http://schemas.microsoft.com/office/2006/metadata/properties"/>
    <ds:schemaRef ds:uri="http://schemas.microsoft.com/office/infopath/2007/PartnerControls"/>
    <ds:schemaRef ds:uri="ba4ba54b-ebc8-4ae5-a9bb-8a2ad5dd9057"/>
    <ds:schemaRef ds:uri="6277174b-3cca-4e0a-af50-078960ad7294"/>
    <ds:schemaRef ds:uri="4c99e746-26f3-44a0-9b64-d6989343f03f"/>
  </ds:schemaRefs>
</ds:datastoreItem>
</file>

<file path=customXml/itemProps2.xml><?xml version="1.0" encoding="utf-8"?>
<ds:datastoreItem xmlns:ds="http://schemas.openxmlformats.org/officeDocument/2006/customXml" ds:itemID="{3B63901C-874A-4B56-9073-DBA444B2F720}">
  <ds:schemaRefs>
    <ds:schemaRef ds:uri="http://schemas.openxmlformats.org/officeDocument/2006/bibliography"/>
  </ds:schemaRefs>
</ds:datastoreItem>
</file>

<file path=customXml/itemProps3.xml><?xml version="1.0" encoding="utf-8"?>
<ds:datastoreItem xmlns:ds="http://schemas.openxmlformats.org/officeDocument/2006/customXml" ds:itemID="{2A3FD85F-9954-48D7-82FA-46BACCEFAD91}">
  <ds:schemaRefs>
    <ds:schemaRef ds:uri="http://schemas.microsoft.com/sharepoint/v3/contenttype/forms"/>
  </ds:schemaRefs>
</ds:datastoreItem>
</file>

<file path=customXml/itemProps4.xml><?xml version="1.0" encoding="utf-8"?>
<ds:datastoreItem xmlns:ds="http://schemas.openxmlformats.org/officeDocument/2006/customXml" ds:itemID="{DDC98EFF-650E-46D6-A7D8-605D9FBA1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9e746-26f3-44a0-9b64-d6989343f03f"/>
    <ds:schemaRef ds:uri="6277174b-3cca-4e0a-af50-078960ad7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1665</Words>
  <Characters>9162</Characters>
  <Application>Microsoft Office Word</Application>
  <DocSecurity>0</DocSecurity>
  <Lines>76</Lines>
  <Paragraphs>21</Paragraphs>
  <ScaleCrop>false</ScaleCrop>
  <Company>UPV</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GODELLA – URBANISME</dc:title>
  <dc:subject/>
  <dc:creator>AYUNTAMIENTO DE GODELLA AYUNT</dc:creator>
  <cp:keywords/>
  <dc:description/>
  <cp:lastModifiedBy>Raúl Cirja</cp:lastModifiedBy>
  <cp:revision>130</cp:revision>
  <cp:lastPrinted>2015-04-17T19:21:00Z</cp:lastPrinted>
  <dcterms:created xsi:type="dcterms:W3CDTF">2021-02-10T03:27:00Z</dcterms:created>
  <dcterms:modified xsi:type="dcterms:W3CDTF">2025-07-30T11:13:00Z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0x010100E5C47E99A5099C419ED6AF8F3F3AC331</vt:lpwstr>
  </property>
  <property fmtid="{D5CDD505-2E9C-101B-9397-08002B2CF9AE}" pid="3" name="MediaServiceImageTags">
    <vt:lpwstr/>
  </property>
</Properties>
</file>