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5450" w:type="dxa"/>
        <w:gridCol w:w="69700" w:type="dxa"/>
      </w:tblGrid>
      <w:tblPr>
        <w:tblW w:w="475850" w:type="pct"/>
        <w:tblLayout w:type="autofit"/>
        <w:bidiVisual w:val="0"/>
      </w:tblPr>
      <w:tr>
        <w:trPr>
          <w:tblHeader w:val="1"/>
        </w:trPr>
        <w:tc>
          <w:tcPr>
            <w:tcW w:w="454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697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5450" w:type="pct"/>
          </w:tcPr>
          <w:p>
            <w:pPr/>
            <w:r>
              <w:rPr/>
              <w:t xml:space="preserve">Protocolo de gestión y seguimiento de incidencias en la vía pública a través de la aplicación móvil</w:t>
            </w:r>
          </w:p>
        </w:tc>
        <w:tc>
          <w:tcPr>
            <w:tcW w:w="697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2026-05-27T20:25:28+00:00</dcterms:created>
  <dcterms:modified xsi:type="dcterms:W3CDTF">2026-05-27T20:25:28+00:00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