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“Santa Pola”</w:t>
      </w:r>
      <w:r>
        <w:rPr/>
        <w:t xml:space="preserve"> en organización contratante. Se desplegarán dos perfiles:</w:t>
      </w:r>
    </w:p>
    <w:p>
      <w:pPr/>
      <w:r>
        <w:rPr/>
        <w:t xml:space="preserve">Dentro de los perfiles, entrar en </w:t>
      </w:r>
      <w:r>
        <w:rPr>
          <w:b w:val="1"/>
          <w:bCs w:val="1"/>
        </w:rPr>
        <w:t xml:space="preserve">“Contratos Menores”</w:t>
      </w:r>
      <w:r>
        <w:rPr/>
        <w:t xml:space="preserve">. En esta pestaña se desplegarán todos los procedimientos de contratación menor. </w:t>
      </w:r>
    </w:p>
    <w:p>
      <w:pPr/>
      <w:r>
        <w:rPr/>
        <w:t xml:space="preserve"> </w:t>
      </w:r>
    </w:p>
    <w:tbl>
      <w:tblGrid>
        <w:gridCol w:w="199750" w:type="dxa"/>
        <w:gridCol w:w="205700" w:type="dxa"/>
        <w:gridCol w:w="109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9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05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9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 ADL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 ADL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2026-07-12T21:58:09+00:00</dcterms:created>
  <dcterms:modified xsi:type="dcterms:W3CDTF">2026-07-12T21:58:09+00:00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