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41550" w:type="dxa"/>
        <w:gridCol w:w="467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1550" w:type="pct"/>
          </w:tcPr>
          <w:p>
            <w:pPr/>
            <w:r>
              <w:rPr/>
              <w:t xml:space="preserve">Plan Antifraude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26/09/2019</w:t>
            </w:r>
          </w:p>
        </w:tc>
        <w:tc>
          <w:tcPr>
            <w:tcW w:w="41550" w:type="pct"/>
          </w:tcPr>
          <w:p>
            <w:pPr/>
            <w:r>
              <w:rPr/>
              <w:t xml:space="preserve">Adhesión al Código Ético de la FEMP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1550" w:type="pct"/>
          </w:tcPr>
          <w:p>
            <w:pPr/>
            <w:r>
              <w:rPr/>
              <w:t xml:space="preserve">Código Ético de la FEMP</w:t>
            </w:r>
          </w:p>
        </w:tc>
        <w:tc>
          <w:tcPr>
            <w:tcW w:w="46735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2026-05-27T20:27:17+00:00</dcterms:created>
  <dcterms:modified xsi:type="dcterms:W3CDTF">2026-05-27T20:27:17+00:00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