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36200" w:type="dxa"/>
        <w:gridCol w:w="176350" w:type="dxa"/>
        <w:gridCol w:w="1477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21362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17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7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2025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2024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4930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- Indemnizaciones corporación 2023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de los miembros de la corporación 2022</w:t>
            </w:r>
          </w:p>
        </w:tc>
        <w:tc>
          <w:tcPr>
            <w:tcW w:w="147750" w:type="pct"/>
          </w:tcPr>
          <w:p>
            <w:pPr/>
          </w:p>
        </w:tc>
      </w:tr>
      <w:tr>
        <w:trPr/>
        <w:tc>
          <w:tcPr>
            <w:tcW w:w="21362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176350" w:type="pct"/>
          </w:tcPr>
          <w:p>
            <w:pPr/>
            <w:r>
              <w:rPr/>
              <w:t xml:space="preserve">Retribuciones e indemnizaciones de la corporación año 2019</w:t>
            </w:r>
          </w:p>
        </w:tc>
        <w:tc>
          <w:tcPr>
            <w:tcW w:w="147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2026-10-12T12:17:11+00:00</dcterms:created>
  <dcterms:modified xsi:type="dcterms:W3CDTF">2026-10-12T12:17:11+00:00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