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83250" w:type="dxa"/>
        <w:gridCol w:w="117050" w:type="dxa"/>
        <w:gridCol w:w="160050" w:type="dxa"/>
        <w:gridCol w:w="4136350" w:type="dxa"/>
        <w:gridCol w:w="67800" w:type="dxa"/>
        <w:gridCol w:w="67800" w:type="dxa"/>
        <w:gridCol w:w="217150" w:type="dxa"/>
        <w:gridCol w:w="166550" w:type="dxa"/>
      </w:tblGrid>
      <w:tblPr>
        <w:tblW w:w="499700" w:type="pct"/>
        <w:tblLayout w:type="autofit"/>
        <w:bidiVisual w:val="0"/>
      </w:tblPr>
      <w:tr>
        <w:trPr>
          <w:tblHeader w:val="1"/>
        </w:trPr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Abierto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Restringido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negociado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Adjudicación Indirecta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Otros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(Derivado Acuerdo Marco,contratos menores, otros)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2025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4.685.025,80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144.159,00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6.125.635,85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10.954.820,65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6.312.091,50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62.807,66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8.230.094,54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14.604.993,70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58.089.118,28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44.236,71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119.523,66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7.529.315,62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65.737.957,56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3.471.539,66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9.500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4.011.855,68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7.492.895,34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2021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1.612.816,64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56.496,06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4.464.717,89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6.134.030,62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2020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2.935.073,72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3.204.438,31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6.139.512,03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/>
      <w:r>
        <w:rPr/>
        <w:t xml:space="preserve">*Fuente: Rendición de Cuentas y Datos Ayuntamiento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2026-08-27T03:22:34+00:00</dcterms:created>
  <dcterms:modified xsi:type="dcterms:W3CDTF">2026-08-27T03:22:34+00:00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