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83250" w:type="dxa"/>
        <w:gridCol w:w="117050" w:type="dxa"/>
        <w:gridCol w:w="160050" w:type="dxa"/>
        <w:gridCol w:w="4136350" w:type="dxa"/>
        <w:gridCol w:w="67800" w:type="dxa"/>
        <w:gridCol w:w="67800" w:type="dxa"/>
        <w:gridCol w:w="217150" w:type="dxa"/>
        <w:gridCol w:w="166550" w:type="dxa"/>
      </w:tblGrid>
      <w:tblPr>
        <w:tblW w:w="499700" w:type="pct"/>
        <w:tblLayout w:type="autofit"/>
        <w:bidiVisual w:val="0"/>
      </w:tblPr>
      <w:tr>
        <w:trPr>
          <w:tblHeader w:val="1"/>
        </w:trPr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Abierto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Restringido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negociado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Adjudicación Indirecta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Otros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(Derivado Acuerdo Marco,contratos menores, otros)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2025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4.685.025,80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144.159,00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6.125.635,85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10.954.820,65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6.312.091,50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62.807,66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8.230.094,54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14.604.993,70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58.089.118,28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44.236,71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119.523,66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7.529.315,62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65.737.957,56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3.471.539,66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9.500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4.011.855,68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7.492.895,34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2021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1.612.816,64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56.496,06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4.464.717,89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6.134.030,62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2020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2.935.073,72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3.204.438,31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6.139.512,03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/>
      <w:r>
        <w:rPr/>
        <w:t xml:space="preserve">*Fuente: Rendición de Cuentas y Datos Ayuntamiento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2026-10-12T12:16:29+00:00</dcterms:created>
  <dcterms:modified xsi:type="dcterms:W3CDTF">2026-10-12T12:16:29+00:00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