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la actualidad los Grupo Políticos Municipales no reciben la asignación que se regula en el Reglamento Orgánico Municipal por renuncia expresa a la misma.</w:t>
      </w:r>
    </w:p>
    <w:p>
      <w:pPr>
        <w:jc w:val="both"/>
      </w:pPr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25-10-2022</w:t>
            </w:r>
          </w:p>
        </w:tc>
        <w:tc>
          <w:tcPr/>
          <w:p>
            <w:pPr/>
            <w:r>
              <w:rPr/>
              <w:t xml:space="preserve">Certificado asignaciones a grupos políticos</w:t>
            </w:r>
          </w:p>
        </w:tc>
        <w:tc>
          <w:tcPr/>
          <w:p>
            <w:pPr/>
          </w:p>
        </w:tc>
      </w:tr>
    </w:tbl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2026-07-12T21:59:42+00:00</dcterms:created>
  <dcterms:modified xsi:type="dcterms:W3CDTF">2026-07-12T21:59:42+00:00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