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 día de hoy, no existen indemnizaciones a los Miembros de las diferentes Corporaciones Municipales por abandono del Cargo. 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25-10-2022</w:t>
            </w:r>
          </w:p>
        </w:tc>
        <w:tc>
          <w:tcPr/>
          <w:p>
            <w:pPr/>
            <w:r>
              <w:rPr/>
              <w:t xml:space="preserve">Certificado indemnizaciones de cargo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2026-10-12T12:17:11+00:00</dcterms:created>
  <dcterms:modified xsi:type="dcterms:W3CDTF">2026-10-12T12:17:11+00:00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