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5450" w:type="dxa"/>
        <w:gridCol w:w="69700" w:type="dxa"/>
      </w:tblGrid>
      <w:tblPr>
        <w:tblW w:w="475850" w:type="pct"/>
        <w:tblLayout w:type="autofit"/>
        <w:bidiVisual w:val="0"/>
      </w:tblPr>
      <w:tr>
        <w:trPr>
          <w:tblHeader w:val="1"/>
        </w:trPr>
        <w:tc>
          <w:tcPr>
            <w:tcW w:w="454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697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5450" w:type="pct"/>
          </w:tcPr>
          <w:p>
            <w:pPr/>
            <w:r>
              <w:rPr/>
              <w:t xml:space="preserve">Plan Estratégico de Subvenciones del Ayuntamiento de Santa Pola 2019-2023</w:t>
            </w:r>
          </w:p>
        </w:tc>
        <w:tc>
          <w:tcPr>
            <w:tcW w:w="697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2026-05-27T20:27:21+00:00</dcterms:created>
  <dcterms:modified xsi:type="dcterms:W3CDTF">2026-05-27T20:27:21+00:00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